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9EF0" w14:textId="28D48B1C" w:rsidR="00924C0F" w:rsidRPr="00924C0F" w:rsidRDefault="00924C0F">
      <w:pPr>
        <w:rPr>
          <w:rFonts w:ascii="Times New Roman" w:hAnsi="Times New Roman" w:cs="Times New Roman"/>
          <w:b/>
          <w:bCs/>
          <w:sz w:val="32"/>
          <w:szCs w:val="32"/>
        </w:rPr>
      </w:pPr>
      <w:r w:rsidRPr="00924C0F">
        <w:rPr>
          <w:rFonts w:ascii="Times New Roman" w:hAnsi="Times New Roman" w:cs="Times New Roman"/>
          <w:b/>
          <w:bCs/>
          <w:sz w:val="32"/>
          <w:szCs w:val="32"/>
        </w:rPr>
        <w:t>Oppositionspartiernas bedömning avseende granskningsresultat</w:t>
      </w:r>
    </w:p>
    <w:p w14:paraId="56440EEE" w14:textId="5DE454F8" w:rsidR="00E94E3B" w:rsidRPr="00924C0F" w:rsidRDefault="00264C53">
      <w:pPr>
        <w:rPr>
          <w:rFonts w:ascii="Times New Roman" w:hAnsi="Times New Roman" w:cs="Times New Roman"/>
          <w:b/>
          <w:bCs/>
          <w:sz w:val="28"/>
          <w:szCs w:val="28"/>
        </w:rPr>
      </w:pPr>
      <w:r w:rsidRPr="00924C0F">
        <w:rPr>
          <w:rFonts w:ascii="Times New Roman" w:hAnsi="Times New Roman" w:cs="Times New Roman"/>
          <w:b/>
          <w:bCs/>
          <w:sz w:val="28"/>
          <w:szCs w:val="28"/>
        </w:rPr>
        <w:t>Brister i regeringens handläggning och statsrådens agerande</w:t>
      </w:r>
    </w:p>
    <w:p w14:paraId="76338437"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Utlämnande av allmänna handlingar hos Statsrådsberedningen [G31, 35 (delvis) och 38]</w:t>
      </w:r>
      <w:r w:rsidRPr="00924C0F">
        <w:rPr>
          <w:rFonts w:ascii="Times New Roman" w:hAnsi="Times New Roman" w:cs="Times New Roman"/>
        </w:rPr>
        <w:t xml:space="preserve"> </w:t>
      </w:r>
    </w:p>
    <w:p w14:paraId="515278B5"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En granskning har gällt utlämnande av allmänna handlingar hos Statsrådsberedningen. KU noterar att Justitieombudsmannen i december 2025 kritiserade Regeringskansliet för att vissa framställningar om utlämnande av allmänna handlingar inte hade handlagts med den skyndsamhet som tryckfrihetsförordningen kräver. </w:t>
      </w:r>
    </w:p>
    <w:p w14:paraId="0156F3F1"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KU:s granskning har framkommit att en skadebedömning daterad i mars 2023 ansågs utgöra internt arbetsmaterial men att ny bedömning gjordes när handlingen begärdes ut. Handlingen bedömdes då vara färdigställd och därmed upprättad, och på grund av detta ansågs den vara en allmän handling. Vid utfrågningen med statsminister Ulf Kristersson (M) anförde han att flera av de aktuella framställningarna borde ha besvarats snabbare och att handlingen med skadebedömning bedömdes vara en allmän handling för sent. </w:t>
      </w:r>
    </w:p>
    <w:p w14:paraId="46369952"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KU finner skäl att betona vikten av att skyndsamhetskravet i tryckfrihetsförordningen respekteras. Det noteras att regeringens prövning av den ovannämnda framställningen om att ta del av handlingen med skadebedömningen tog drygt 1,5 månad, och då hade frågan dessförinnan varit föremål för prövning i Regeringskansliet. </w:t>
      </w:r>
    </w:p>
    <w:p w14:paraId="626AECC5" w14:textId="7FD9163A" w:rsidR="00264C53" w:rsidRPr="00924C0F" w:rsidRDefault="00264C53" w:rsidP="00924C0F">
      <w:pPr>
        <w:jc w:val="both"/>
        <w:rPr>
          <w:rFonts w:ascii="Times New Roman" w:hAnsi="Times New Roman" w:cs="Times New Roman"/>
        </w:rPr>
      </w:pPr>
      <w:r w:rsidRPr="00924C0F">
        <w:rPr>
          <w:rFonts w:ascii="Times New Roman" w:hAnsi="Times New Roman" w:cs="Times New Roman"/>
        </w:rPr>
        <w:t>KU betonar också vikten av registrering (diarieföring) för att garantera och underlätta allmänhetens tillgång till allmänna handlingar. Allmänna handlingar ska som huvudregel registreras så snart de har kommit in till eller upprättats hos en myndighet. Om en handling innehåller uppgifter som omfattas av sekretess ska den alltid registreras. Eftersom handlingen med skadebedömningen omfattas av sekretess och därmed ska diarieföras har registreringsskyldigheten inte kunnat upprätthållas från rätt tidpunkt. Som chef för Regeringskansliet har statsministern ett övergripande ansvar för att det finns en organisation för att hantera ärenden om utlämnande av allmänna handlingar.</w:t>
      </w:r>
    </w:p>
    <w:p w14:paraId="3209C437" w14:textId="77777777" w:rsidR="00264C53" w:rsidRPr="00924C0F" w:rsidRDefault="00264C53">
      <w:pPr>
        <w:rPr>
          <w:rFonts w:ascii="Times New Roman" w:hAnsi="Times New Roman" w:cs="Times New Roman"/>
        </w:rPr>
      </w:pPr>
      <w:r w:rsidRPr="00924C0F">
        <w:rPr>
          <w:rFonts w:ascii="Times New Roman" w:hAnsi="Times New Roman" w:cs="Times New Roman"/>
          <w:b/>
          <w:bCs/>
        </w:rPr>
        <w:t xml:space="preserve">Sveriges överenskommelse med Somalia om bistånd och migration [G25, 27 och 32] </w:t>
      </w:r>
    </w:p>
    <w:p w14:paraId="4AFE12BC"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Vidare har Sveriges överenskommelse med Somalia om bistånd och migration granskats. KU konstaterar att regeringens reformagenda för biståndet, som bland annat innebär att delar av utvecklingsbiståndet kan villkoras, är förankrad i utrikesutskottet och riksdagen. När det gäller överenskommelsen med Somalia konstateras att olika ord har använts för att beskriva den och att ett och samma ord har getts olika innebörd. Risken som följer är att detta skapar oklarheter och leder till olika förväntningar på överenskommelsen. </w:t>
      </w:r>
    </w:p>
    <w:p w14:paraId="70D49535"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Granskningen har visat att överenskommelsen inte innehåller några rättsligt bindande förpliktelser för Sverige som stat och den utgör därför inte en internationell överenskommelse i regeringsformens bemärkelse. Det rör sig om en informell överenskommelse utan rättsligt bindande åtaganden. När det gäller den process som ledde fram till överenskommelsen, och den process som sedan följde för att genomföra den, framhåller KU att olika berörda delar av den </w:t>
      </w:r>
      <w:r w:rsidRPr="00924C0F">
        <w:rPr>
          <w:rFonts w:ascii="Times New Roman" w:hAnsi="Times New Roman" w:cs="Times New Roman"/>
        </w:rPr>
        <w:lastRenderedPageBreak/>
        <w:t xml:space="preserve">svenska förvaltningen inte verkar ha varit samordnade fullt ut, vilket kan ha skapat svårigheter att hitta en lösning för genomförandet som var hållbar över tid. </w:t>
      </w:r>
    </w:p>
    <w:p w14:paraId="3D4AF3A4"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granskningen har det också framkommit att Sida sett sig ha vissa begränsningar i sina möjligheter att bereda och besluta om biståndsinsatser för genomförandet av överenskommelsen. Det kan inte uteslutas att tydligare styrning av Sida i ett tidigare skede hade underlättat för myndigheten i dess uppgift att bidra till överenskommelsens genomförande. </w:t>
      </w:r>
    </w:p>
    <w:p w14:paraId="44C20578"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Sammantaget bedömer KU att dialogen med och styrningen av Sida gått till på ett sätt som medfört svårigheter vid genomförandet av överenskommelsen. KU noterar i anslutning till det anförda att biståndsrådet vid Somaliasektionen vid Sveriges ambassad i Nairobi förklarades persona non grata våren 2025. Det hade varit möjligt för regeringen att informera Utrikesnämnden i såväl denna fråga som i frågan om den nya inriktningen för biståndet. </w:t>
      </w:r>
    </w:p>
    <w:p w14:paraId="448852F4" w14:textId="7F719DDC" w:rsidR="00264C53" w:rsidRPr="00924C0F" w:rsidRDefault="00264C53" w:rsidP="00924C0F">
      <w:pPr>
        <w:jc w:val="both"/>
        <w:rPr>
          <w:rFonts w:ascii="Times New Roman" w:hAnsi="Times New Roman" w:cs="Times New Roman"/>
        </w:rPr>
      </w:pPr>
      <w:r w:rsidRPr="00924C0F">
        <w:rPr>
          <w:rFonts w:ascii="Times New Roman" w:hAnsi="Times New Roman" w:cs="Times New Roman"/>
        </w:rPr>
        <w:t>När det gäller frågan om kontroll och uppföljning av biståndsinsatserna via Världsbanken och UNDP samt det svenska stödet till IOM konstaterar KU att respektive samarbetsorganisation ska säkerställa att stödet används på ett korrekt sätt. Dessutom är det naturligtvis angeläget att svenska myndigheter följer och tar del av rapporter om biståndets användning, så att de vid behov kan vidta åtgärder för att förhindra att biståndsmedel betalas ut i strid med gällande regelverk. KU har i granskningen tagit del av uppföljningar som kommit in till Regeringskansliet. Uppföljningarna ger inte anledning till någon kommentar av KU.</w:t>
      </w:r>
    </w:p>
    <w:p w14:paraId="16C59294"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Säkerhetsbrister vid Lantmäteriet [G7–8 och 37]</w:t>
      </w:r>
      <w:r w:rsidRPr="00924C0F">
        <w:rPr>
          <w:rFonts w:ascii="Times New Roman" w:hAnsi="Times New Roman" w:cs="Times New Roman"/>
        </w:rPr>
        <w:t xml:space="preserve"> </w:t>
      </w:r>
    </w:p>
    <w:p w14:paraId="51E3263E"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Regeringens hantering av säkerhetsbrister vid Lantmäteriet har granskats. Under granskningen har det blivit uppenbart att säkerhetsbristerna inom Lantmäteriet har varit avsevärt större än vad som först framkom och konsekvenserna för Sveriges säkerhet är svåra att överblicka. Landsbygds- och infrastrukturdepartementet fick under våren 2024 vid flera tillfällen information om allvarliga säkerhetsincidenter vid Lantmäteriet. </w:t>
      </w:r>
    </w:p>
    <w:p w14:paraId="174304A9"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Vid ett av tillfällena framförde myndighetens dåvarande säkerhetsskyddschef att kundtjänst inte genomförde någon sekretessgranskning vid utlämnande av handlingar. Dessutom kunde Lantmäteriets kunder med direktåtkomst få ut uppgifter ur databasen Arken utan föregående sekretessgranskning. Enligt säkerhetsskyddschefen önskade den dåvarande generaldirektören att denna uppgift inte skulle delges departementet. Infrastruktur- och bostadsminister Andreas Carlson (KD) har anfört att han och Regeringskansliet vid flera tillfällen frågat Lantmäteriet om behov av ytterligare åtgärder från regeringens sida. </w:t>
      </w:r>
    </w:p>
    <w:p w14:paraId="5AD59C3F"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Mot bakgrund av den information som departementet och ministern fick ta del av, samt diskrepansen mellan generaldirektörens och säkerhetsskyddschefens analyser och slutsatser, kan det ifrågasättas huruvida det var tillräckligt att regeringen förlitade sig på Lantmäteriets egen bedömning om huruvida några åtgärder behövde vidtas. Att efterfråga ytterligare uppgifter hade sannolikt kunnat göras utan att generaldirektörens auktoritet satts i fråga. KU menar därför att infrastruktur- och bostadsministern hade kunnat efterfråga såväl ytterligare information som ett tydligare agerande från generaldirektören när det gäller frågeställningarna. </w:t>
      </w:r>
    </w:p>
    <w:p w14:paraId="2BAB1480"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lastRenderedPageBreak/>
        <w:t xml:space="preserve">Granskningen har även omfattat vidareförmedlingen av information inom Regeringskansliet om säkerhetsbristerna. Inom Regeringskansliet finns det rutiner för hur informationsöverföring ska ske mellan departementen. I det aktuella fallet har rutinerna följts i förhållande till och inom Statsrådsberedningen. Samtidigt kan det ifrågasättas om de befintliga rutinerna motsvarat kraven för informationsdelning när så pass allvarliga säkerhetsbrister konstaterats. Med hänsyn till den verksamhet som Lantmäteriet bedriver och som berör stora delar av samhället borde även Försvarsdepartementet ha informerats om säkerhetsbristerna tidigare än vad som nu skedde. </w:t>
      </w:r>
    </w:p>
    <w:p w14:paraId="7FD2EC86" w14:textId="4FD7FA53" w:rsidR="00264C53" w:rsidRPr="00924C0F" w:rsidRDefault="00264C53" w:rsidP="00924C0F">
      <w:pPr>
        <w:jc w:val="both"/>
        <w:rPr>
          <w:rFonts w:ascii="Times New Roman" w:hAnsi="Times New Roman" w:cs="Times New Roman"/>
        </w:rPr>
      </w:pPr>
      <w:r w:rsidRPr="00924C0F">
        <w:rPr>
          <w:rFonts w:ascii="Times New Roman" w:hAnsi="Times New Roman" w:cs="Times New Roman"/>
        </w:rPr>
        <w:t>Granskningen visar även att varken regeringen eller Regeringskansliet har fått del av någon bedömning från Säkerhetspolisen om konsekvenserna av säkerhetsbristerna vid Lantmäteriet. Vid ett möte i januari 2025 efterfrågades en bedömning men Säkerhetspolisen uppgav att man inte kunde dela med sig av några bedömningar om den pågående tillsynen. Någon bedömning har därefter inte efterfrågats. KU konstaterar att regeringen, trots att det har varit möjligt, inte tagit initiativ till någon skadebedömning av säkerhetspolitiska och samhälleliga aspekter enligt de uppgifter som har lämnats till KU.</w:t>
      </w:r>
    </w:p>
    <w:p w14:paraId="25ABE282"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Statliga AP-fonders och bolags investering i Northvolt [G4 och 9</w:t>
      </w:r>
      <w:r w:rsidRPr="00924C0F">
        <w:rPr>
          <w:rFonts w:ascii="Times New Roman" w:hAnsi="Times New Roman" w:cs="Times New Roman"/>
        </w:rPr>
        <w:t xml:space="preserve">] </w:t>
      </w:r>
    </w:p>
    <w:p w14:paraId="567A9C0B"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granskningen har även statliga AP-fonders och bolags investering i Northvolt ingått. Northvolts konkurs har inneburit en förlust för AP-fonderna, och därmed också pensionsspararna, och även drabbat berörda lokalsamhällen. Granskningen avser om den dåvarande regeringen på ett otillbörligt sätt utövat politisk påverkan på AP-fonderna att genomföra investeringen. </w:t>
      </w:r>
    </w:p>
    <w:p w14:paraId="64F80B35"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Någon otillbörlig påverkan från regeringens sida för att förmå AP-fonderna att investera i Northvolt har inte framkommit i granskningen. Detsamma gäller Vattenfalls investering i Northvolt. </w:t>
      </w:r>
    </w:p>
    <w:p w14:paraId="254EF8FE"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Granskningen tar även upp dåvarande finansmarknadsminister Per Bolunds (MP) uttalande i november 2019 om att regeringen kunde behöva rekrytera nya styrelser i AP-fonderna ifall fonderna inte hade bättre förståelse för vad man förväntade sig. Uttalandet gjordes i en intervju mot bakgrund av Informationsklass: Intern en mediegranskning om AP-fondernas investeringar i fossila bolag utifrån de nya reglerna om hållbar utveckling vid förvaltningen av fonderna. </w:t>
      </w:r>
    </w:p>
    <w:p w14:paraId="37D8B03D" w14:textId="1AD2D556" w:rsidR="00264C53" w:rsidRPr="00924C0F" w:rsidRDefault="00264C53" w:rsidP="00924C0F">
      <w:pPr>
        <w:jc w:val="both"/>
        <w:rPr>
          <w:rFonts w:ascii="Times New Roman" w:hAnsi="Times New Roman" w:cs="Times New Roman"/>
        </w:rPr>
      </w:pPr>
      <w:r w:rsidRPr="00924C0F">
        <w:rPr>
          <w:rFonts w:ascii="Times New Roman" w:hAnsi="Times New Roman" w:cs="Times New Roman"/>
        </w:rPr>
        <w:t>Enligt KU behöver statsråd iaktta återhållsamhet i uttalanden som rör AP-fonderna. Det aktuella uttalandet var inte ett förberett anförande utan gjordes under en intervju. Ett liknande budskap framfördes också av statsrådet direkt till AP-fondernas ledningar i samband med ett möte med dessa. Från AP-fonderna har framförts att uttalandet inte haft någon påverkan på deras investeringsbeslut. Det väckte dock reaktioner bland dem, och det har anförts att det i en av dem sannolikt bidrog till att man senare lyfte fram politisk risk som ett övergripande riskområde. Uttalanden som det aktuella kan, enligt KU, riskera att uppfattas som ett indirekt ifrågasättande av AP-fondernas självständighet.</w:t>
      </w:r>
    </w:p>
    <w:p w14:paraId="5C5051D3"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Statsråds aktieinnehav och jäv [G45, G17, G12, G13]</w:t>
      </w:r>
      <w:r w:rsidRPr="00924C0F">
        <w:rPr>
          <w:rFonts w:ascii="Times New Roman" w:hAnsi="Times New Roman" w:cs="Times New Roman"/>
        </w:rPr>
        <w:t xml:space="preserve"> </w:t>
      </w:r>
    </w:p>
    <w:p w14:paraId="4A753EA0"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lastRenderedPageBreak/>
        <w:t xml:space="preserve">När det gäller civilminister Erik </w:t>
      </w:r>
      <w:proofErr w:type="spellStart"/>
      <w:r w:rsidRPr="00924C0F">
        <w:rPr>
          <w:rFonts w:ascii="Times New Roman" w:hAnsi="Times New Roman" w:cs="Times New Roman"/>
        </w:rPr>
        <w:t>Slottners</w:t>
      </w:r>
      <w:proofErr w:type="spellEnd"/>
      <w:r w:rsidRPr="00924C0F">
        <w:rPr>
          <w:rFonts w:ascii="Times New Roman" w:hAnsi="Times New Roman" w:cs="Times New Roman"/>
        </w:rPr>
        <w:t xml:space="preserve"> (KD) deltagande i regeringsbeslut framkommer i granskningen att civilministern anmält jäv i ärenden om en vindkraftspark som drivs av ett dotterbolag till ett vindkraftsbolag som han äger aktier i. Han deltog dock i ett regeringsbeslut då han vid tidpunkten för beslutet saknade kännedom om att dotterbolaget tillhörde det bolag som han ägde aktier i. Utskottet invänder inte mot det anförda men framhåller vikten av att situationer som kan aktualisera frågor om jäv och intressekonflikter identifieras och uppmärksammas. </w:t>
      </w:r>
    </w:p>
    <w:p w14:paraId="369B4030"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granskningen om den dåvarande utbildningsministern Johan Pehrsons (L) anmälan om aktieinnehav konstaterar KU att den tidigare utbildningsministern själv medgett att han råkat missa att anmäla sitt totala innehav av finansiella instrument under 2024. Även om de aktuella aktieinnehaven redovisades för 2023 och 2025 har enligt KU möjligheten för andra att uppmärksamma eventuella intressekonflikter och jävssituationer försvårats genom underlåtenheten. </w:t>
      </w:r>
    </w:p>
    <w:p w14:paraId="2649B572"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granskningen om den dåvarande migrationsministern Maria Malmer </w:t>
      </w:r>
      <w:proofErr w:type="spellStart"/>
      <w:r w:rsidRPr="00924C0F">
        <w:rPr>
          <w:rFonts w:ascii="Times New Roman" w:hAnsi="Times New Roman" w:cs="Times New Roman"/>
        </w:rPr>
        <w:t>Stenergards</w:t>
      </w:r>
      <w:proofErr w:type="spellEnd"/>
      <w:r w:rsidRPr="00924C0F">
        <w:rPr>
          <w:rFonts w:ascii="Times New Roman" w:hAnsi="Times New Roman" w:cs="Times New Roman"/>
        </w:rPr>
        <w:t xml:space="preserve"> (M) köp och innehav av aktier framkommer att statsrådet köpte aktier i ett bolag som var underleverantör till ett stridsfordon som Försvarets materielverk (FMV) upphandlade. KU anser att aktieinnehavet kan ge anledning att ifrågasätta statsrådets deltagande i regeringsbeslutet eftersom ett sådant deltagande alltid kan ge upphov till tvivel om huruvida de överväganden som görs är fria från privatekonomiska intressen. Möjligheten för andra att uppmärksamma eventuella intressekonflikter och jävssituationer försvårades också av att statsrådet dröjde fyra veckor med att anmäla köpet av aktierna. </w:t>
      </w:r>
    </w:p>
    <w:p w14:paraId="2AACEC7C" w14:textId="7CFA382B"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I granskningen om den dåvarande utbildningsministern Mats Perssons (L) köp och innehav av aktier har det framkommit att det tidigare statsrådet deltog i regeringens beslut att ge </w:t>
      </w:r>
      <w:proofErr w:type="spellStart"/>
      <w:r w:rsidRPr="00924C0F">
        <w:rPr>
          <w:rFonts w:ascii="Times New Roman" w:hAnsi="Times New Roman" w:cs="Times New Roman"/>
        </w:rPr>
        <w:t>Vinnova</w:t>
      </w:r>
      <w:proofErr w:type="spellEnd"/>
      <w:r w:rsidRPr="00924C0F">
        <w:rPr>
          <w:rFonts w:ascii="Times New Roman" w:hAnsi="Times New Roman" w:cs="Times New Roman"/>
        </w:rPr>
        <w:t xml:space="preserve"> i uppdrag att stärka ett innovations- och forskningsprogram. Kort efter beslutet köpte han aktier i ett teknikföretag som ingår som näringslivsrepresentant i programmet. KU anser att det tidigare statsrådets agerande i sin helhet inte lever upp till de krav som följer av 6 kap. 2 § andra stycket regeringsformen. Därmed kan också förtroendet för honom som statsråd ifrågasättas. KU framhåller att det är viktigt att förtroendet för det allmänna upprätthålls och att det inte finns skäl att ens misstänka att någon i regeringen eller Regeringskansliet gynnar sig själv eller någon närstående. Möjligheten för andra att uppmärksamma eventuella intressekonflikter och jävssituationer försvårades också av att det tidigare statsrådet dröjde ungefär fem månader med att anmäla köpet av aktierna.</w:t>
      </w:r>
    </w:p>
    <w:p w14:paraId="1E8FCFC6"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Statsministerns samt statsråds uttalanden om Region Stockholm [G40]</w:t>
      </w:r>
      <w:r w:rsidRPr="00924C0F">
        <w:rPr>
          <w:rFonts w:ascii="Times New Roman" w:hAnsi="Times New Roman" w:cs="Times New Roman"/>
        </w:rPr>
        <w:t xml:space="preserve"> </w:t>
      </w:r>
    </w:p>
    <w:p w14:paraId="5F40727C"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KU har granskat statsminister Ulf Kristerssons (M) samt socialtjänstminister Camilla Waltersson Grönvalls (M) uttalanden om Region Stockholm. Uttalandena gäller vårdköer i Region Stockholm. Det har i granskningen inte framkommit helt vad de aktuella uttalandena grundar sig på. När det gäller statsministerns uttalande ska det dock beaktas att det gjordes i samband med ett replikskifte under en pågående partiledardebatt. </w:t>
      </w:r>
    </w:p>
    <w:p w14:paraId="68642826" w14:textId="0E2291CF" w:rsidR="00264C53" w:rsidRPr="00924C0F" w:rsidRDefault="00264C53" w:rsidP="00924C0F">
      <w:pPr>
        <w:jc w:val="both"/>
        <w:rPr>
          <w:rFonts w:ascii="Times New Roman" w:hAnsi="Times New Roman" w:cs="Times New Roman"/>
        </w:rPr>
      </w:pPr>
      <w:r w:rsidRPr="00924C0F">
        <w:rPr>
          <w:rFonts w:ascii="Times New Roman" w:hAnsi="Times New Roman" w:cs="Times New Roman"/>
        </w:rPr>
        <w:lastRenderedPageBreak/>
        <w:t>Socialtjänstminister Camilla Waltersson Grönvalls (M) uttalande får däremot antas ha gjorts inom ramen för ett förberett anförande. KU framhåller mot den bakgrunden vad det tidigare uttalat om att uttalanden från statsråd ska vara korrekta och rättvisande.</w:t>
      </w:r>
    </w:p>
    <w:p w14:paraId="53A88FDD"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Finansministerns uttalande om införande av indexering av assistansersättningen [G41]</w:t>
      </w:r>
      <w:r w:rsidRPr="00924C0F">
        <w:rPr>
          <w:rFonts w:ascii="Times New Roman" w:hAnsi="Times New Roman" w:cs="Times New Roman"/>
        </w:rPr>
        <w:t xml:space="preserve"> </w:t>
      </w:r>
    </w:p>
    <w:p w14:paraId="233A515D"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Finansminister Elisabeth Svantessons (M) uttalande om införande av indexering av assistansersättningen har också granskats. KU konstaterar att informationen rörande frågan om en indexering av schablonbeloppet i assistansersättningen som getts av olika statsråd vid olika tillfällen skiljer sig åt. Det aktuella ärendets status och tidsplan har beskrivits på olika sätt och det kan ifrågasättas om samordningen mellan berörda departement har varit tillräcklig. </w:t>
      </w:r>
    </w:p>
    <w:p w14:paraId="2AC120D8" w14:textId="2A7998E7" w:rsidR="00924C0F" w:rsidRPr="00924C0F" w:rsidRDefault="00264C53" w:rsidP="00924C0F">
      <w:pPr>
        <w:jc w:val="both"/>
        <w:rPr>
          <w:rFonts w:ascii="Times New Roman" w:hAnsi="Times New Roman" w:cs="Times New Roman"/>
        </w:rPr>
      </w:pPr>
      <w:r w:rsidRPr="00924C0F">
        <w:rPr>
          <w:rFonts w:ascii="Times New Roman" w:hAnsi="Times New Roman" w:cs="Times New Roman"/>
        </w:rPr>
        <w:t>Härutöver konstateras att den bild som finansministern gav i sitt uttalande vid en pressträff, att ett besked som hade lämnats av en partiföreträdare vid en tidigare pressträff endast gav uttryck för vad det partiet ville driva, är svårförenlig med den bild som tidigare hade framkommit i information från Socialdepartementet och socialtjänstminister Camilla Waltersson Grönvall (M).</w:t>
      </w:r>
    </w:p>
    <w:p w14:paraId="32E230DF" w14:textId="77777777" w:rsidR="00924C0F" w:rsidRPr="00924C0F" w:rsidRDefault="00924C0F">
      <w:pPr>
        <w:rPr>
          <w:rFonts w:ascii="Times New Roman" w:hAnsi="Times New Roman" w:cs="Times New Roman"/>
        </w:rPr>
      </w:pPr>
    </w:p>
    <w:p w14:paraId="0E1AB2D6" w14:textId="484AB02E" w:rsidR="00264C53" w:rsidRPr="00924C0F" w:rsidRDefault="00264C53">
      <w:pPr>
        <w:rPr>
          <w:rFonts w:ascii="Times New Roman" w:hAnsi="Times New Roman" w:cs="Times New Roman"/>
          <w:b/>
          <w:bCs/>
          <w:sz w:val="28"/>
          <w:szCs w:val="28"/>
        </w:rPr>
      </w:pPr>
      <w:r w:rsidRPr="00924C0F">
        <w:rPr>
          <w:rFonts w:ascii="Times New Roman" w:hAnsi="Times New Roman" w:cs="Times New Roman"/>
          <w:b/>
          <w:bCs/>
          <w:sz w:val="28"/>
          <w:szCs w:val="28"/>
        </w:rPr>
        <w:t>Andra resultat i granskningen</w:t>
      </w:r>
    </w:p>
    <w:p w14:paraId="644F62F8"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Energi- och näringsministerns agerande i förhållande till interpellationsinstitutet [G15]</w:t>
      </w:r>
      <w:r w:rsidRPr="00924C0F">
        <w:rPr>
          <w:rFonts w:ascii="Times New Roman" w:hAnsi="Times New Roman" w:cs="Times New Roman"/>
        </w:rPr>
        <w:t xml:space="preserve"> </w:t>
      </w:r>
    </w:p>
    <w:p w14:paraId="4C0F6AEA" w14:textId="4189F381" w:rsidR="00264C53" w:rsidRPr="00924C0F" w:rsidRDefault="00264C53" w:rsidP="00924C0F">
      <w:pPr>
        <w:jc w:val="both"/>
        <w:rPr>
          <w:rFonts w:ascii="Times New Roman" w:hAnsi="Times New Roman" w:cs="Times New Roman"/>
        </w:rPr>
      </w:pPr>
      <w:r w:rsidRPr="00924C0F">
        <w:rPr>
          <w:rFonts w:ascii="Times New Roman" w:hAnsi="Times New Roman" w:cs="Times New Roman"/>
        </w:rPr>
        <w:t>KU har granskat energi- och näringsminister Ebba Buschs (KD) agerande i förhållande till interpellationsinstitutet. I granskningen uppmärksammas att statsrådet vid ett kammarsammanträde inte besvarade två av fyra interpellationer. Som skäl har anförts att arbetsbelastningen var hög vid tillfället. En avgörande förutsättning för att frågeinstituten ska ha den verkan och funktion som förutsätts i regeringsformen och riksdagsordningen är, enligt KU, att statsråden respekterar gällande reglering och praxis. Det är av särskild vikt att statsråden endast i undantagsfall och om det finns synnerliga skäl låter bli att besvara en interpellation eller fråga samt att fördröjda svar undviks så långt som möjligt.</w:t>
      </w:r>
    </w:p>
    <w:p w14:paraId="63F10248"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t>Uppdraget till universitet om medborgarskapsprov [G23]</w:t>
      </w:r>
      <w:r w:rsidRPr="00924C0F">
        <w:rPr>
          <w:rFonts w:ascii="Times New Roman" w:hAnsi="Times New Roman" w:cs="Times New Roman"/>
        </w:rPr>
        <w:t xml:space="preserve"> </w:t>
      </w:r>
    </w:p>
    <w:p w14:paraId="5A3F8AD7"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Vidare har KU granskat regeringens uppdrag till universitet om medborgarskapsprov. Uppdraget till Göteborgs och Stockholms universitet var att bistå Universitets- och högskolerådet (UHR) vid framtagandet av medborgarskapsprov. KU framhåller att universitet och högskolor har en speciell ställning i förvaltningsorganisationen, i vissa avseenden mer självständig ställning än andra förvaltningsmyndigheter. Samtidigt är de statliga myndigheter och regeringen har därmed en formell möjlighet att via beslut ge dem uppdrag. Denna formella möjlighet har inte satts i fråga men däremot lämpligheten i att göra det. </w:t>
      </w:r>
    </w:p>
    <w:p w14:paraId="6967F3B7"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KU framhåller att i den mån sådana uppdrag omfattar i grunden politiska eller andra bedömningar än akademiska kan det upplevas som problematiskt i förhållande till den akademiska friheten. </w:t>
      </w:r>
    </w:p>
    <w:p w14:paraId="47224F67"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lastRenderedPageBreak/>
        <w:t xml:space="preserve">När det gäller det aktuella uppdragets utformning konstaterar KU att de statliga lärosätenas huvuduppgifter är reglerade i lag (högskolelagen). Utbildning och forskning som bedrivs vid dessa är ingenting som kan eller bör prioriteras bort på grund av särskilda uppdrag. </w:t>
      </w:r>
    </w:p>
    <w:p w14:paraId="10CD20D2" w14:textId="53FDB555" w:rsidR="00264C53" w:rsidRPr="00924C0F" w:rsidRDefault="00924C0F" w:rsidP="00924C0F">
      <w:pPr>
        <w:jc w:val="both"/>
        <w:rPr>
          <w:rFonts w:ascii="Times New Roman" w:hAnsi="Times New Roman" w:cs="Times New Roman"/>
        </w:rPr>
      </w:pPr>
      <w:r w:rsidRPr="00924C0F">
        <w:rPr>
          <w:rFonts w:ascii="Times New Roman" w:hAnsi="Times New Roman" w:cs="Times New Roman"/>
        </w:rPr>
        <w:t>KU noterar att universiteten påtalat utmaningar med att genomföra uppdraget kopplat till den snäva tidsplanen. Samtidigt uppger Utbildningsdepartementet att det inte fått några indikationer på att uppdraget har påverkat lärosätenas förmåga att utföra sina uppgifter enligt högskolelagen. KU understryker ändå vikten av att regeringen i de fall den beslutar om särskilda uppdrag till universitet och högskolor har en dialog med dessa och ser till att säkerställa att uppdraget inte går ut över lärosätenas förmåga att utföra sina huvuduppgifter.</w:t>
      </w:r>
    </w:p>
    <w:p w14:paraId="182DDD26"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t>Hantering av utrednings- och remissväsendet [G43]</w:t>
      </w:r>
      <w:r w:rsidRPr="00924C0F">
        <w:rPr>
          <w:rFonts w:ascii="Times New Roman" w:hAnsi="Times New Roman" w:cs="Times New Roman"/>
        </w:rPr>
        <w:t xml:space="preserve"> </w:t>
      </w:r>
    </w:p>
    <w:p w14:paraId="6662F82A"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Hantering av utrednings- och remissväsendet har också granskats. KU påminner om att regeringsformens beredningskrav ska tillmätas stor vikt. Avsteg från normala beredningsrutiner kan behöva förekomma i brådskande ärenden, men en utgångspunkt är att normala rutiner inte åsidosätts under längre tid och i större omfattning än nödvändigt. </w:t>
      </w:r>
    </w:p>
    <w:p w14:paraId="46C28912"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Regeringen ansvarar för att lagförslag är tillräckligt väl beredda innan de överlämnas till riksdagen. Sedan ligger det på det beredande utskottet och i slutänden riksdagen att i varje enskilt ärende ta ställning till om beredningsunderlaget kan anses tillräckligt och om motiveringen till en eventuell skyndsam beredning är tillräckligt stark. </w:t>
      </w:r>
    </w:p>
    <w:p w14:paraId="242F3F1E"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Granskningen har bland annat gällt frågan om hur den beredning som föregick regeringens beslut om lagrådsremissen Dubbla straff för brott i kriminella nätverk och skärpta straffskalor förhåller sig till gällande ordning. Det har i granskningen anförts att en akut samhällssituation skapade ett behov av skyndsamhet i ärendet. KU ifrågasätter inte den bedömningen men vill generellt understryka att en skyndsam beredning riskerar att påverka lagstiftningens kvalitet. Behovet av en beredning med avsteg från gängse ledtider måste därför noga prövas från fall till fall, och sådana avsteg ska endast göras när dessa bedöms nödvändiga. </w:t>
      </w:r>
    </w:p>
    <w:p w14:paraId="444E5A7B" w14:textId="30115679" w:rsidR="00924C0F" w:rsidRPr="00924C0F" w:rsidRDefault="00924C0F" w:rsidP="00924C0F">
      <w:pPr>
        <w:jc w:val="both"/>
        <w:rPr>
          <w:rFonts w:ascii="Times New Roman" w:hAnsi="Times New Roman" w:cs="Times New Roman"/>
        </w:rPr>
      </w:pPr>
      <w:r w:rsidRPr="00924C0F">
        <w:rPr>
          <w:rFonts w:ascii="Times New Roman" w:hAnsi="Times New Roman" w:cs="Times New Roman"/>
        </w:rPr>
        <w:t>Därutöver framhåller KU att det inte ser framför sig ett generellt förändrat förhållningssätt till vad som krävs för att ett ärende ska anses vara brådskande och därför motivera avsteg från normala beredningsrutiner, utan sådana bedömningar förutsätts ske utifrån samma utgångspunkter som tidigare.</w:t>
      </w:r>
    </w:p>
    <w:p w14:paraId="357DF0FD" w14:textId="77777777" w:rsidR="00264C53" w:rsidRPr="00924C0F" w:rsidRDefault="00264C53">
      <w:pPr>
        <w:rPr>
          <w:rFonts w:ascii="Times New Roman" w:hAnsi="Times New Roman" w:cs="Times New Roman"/>
        </w:rPr>
      </w:pPr>
      <w:r w:rsidRPr="00924C0F">
        <w:rPr>
          <w:rFonts w:ascii="Times New Roman" w:hAnsi="Times New Roman" w:cs="Times New Roman"/>
          <w:b/>
          <w:bCs/>
          <w:i/>
          <w:iCs/>
        </w:rPr>
        <w:t>Utlysning</w:t>
      </w:r>
      <w:r w:rsidRPr="00924C0F">
        <w:rPr>
          <w:rFonts w:ascii="Times New Roman" w:hAnsi="Times New Roman" w:cs="Times New Roman"/>
          <w:b/>
          <w:bCs/>
          <w:i/>
          <w:iCs/>
        </w:rPr>
        <w:t xml:space="preserve"> av tjänster vid Regeringskansliet [G10]</w:t>
      </w:r>
      <w:r w:rsidRPr="00924C0F">
        <w:rPr>
          <w:rFonts w:ascii="Times New Roman" w:hAnsi="Times New Roman" w:cs="Times New Roman"/>
        </w:rPr>
        <w:t xml:space="preserve"> </w:t>
      </w:r>
    </w:p>
    <w:p w14:paraId="08D040B1" w14:textId="77777777" w:rsidR="00264C53" w:rsidRPr="00924C0F" w:rsidRDefault="00264C53" w:rsidP="00924C0F">
      <w:pPr>
        <w:jc w:val="both"/>
        <w:rPr>
          <w:rFonts w:ascii="Times New Roman" w:hAnsi="Times New Roman" w:cs="Times New Roman"/>
        </w:rPr>
      </w:pPr>
      <w:r w:rsidRPr="00924C0F">
        <w:rPr>
          <w:rFonts w:ascii="Times New Roman" w:hAnsi="Times New Roman" w:cs="Times New Roman"/>
        </w:rPr>
        <w:t xml:space="preserve">En annan granskning har gällt utlysningen av tjänster vid Regeringskansliet. Av granskningen framgår att Regeringskansliet under 2020–2024 vid ett antal tillfällen informerat om en ledig anställning endast på myndighetens anslagstavla. I några fall har det rört sig om anställningar som inte omfattas av undantaget i myndighetens instruktion från kravet på information om lediga anställningar. </w:t>
      </w:r>
    </w:p>
    <w:p w14:paraId="08E83582" w14:textId="2870C207" w:rsidR="00264C53" w:rsidRPr="00924C0F" w:rsidRDefault="00264C53" w:rsidP="00924C0F">
      <w:pPr>
        <w:jc w:val="both"/>
        <w:rPr>
          <w:rFonts w:ascii="Times New Roman" w:hAnsi="Times New Roman" w:cs="Times New Roman"/>
        </w:rPr>
      </w:pPr>
      <w:r w:rsidRPr="00924C0F">
        <w:rPr>
          <w:rFonts w:ascii="Times New Roman" w:hAnsi="Times New Roman" w:cs="Times New Roman"/>
        </w:rPr>
        <w:t>KU konstaterar att det granskade rekryteringsförfarandet har inneburit avsteg från gällande regelverk. Förfarandet har inte tillämpats sedan våren 2024 och KU förutsätter att den ordning som nu uppges gälla upprätthålls.</w:t>
      </w:r>
    </w:p>
    <w:p w14:paraId="042EB0BF"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lastRenderedPageBreak/>
        <w:t>Fråga om åsiktsregistrering inom Regeringskansliet [G14]</w:t>
      </w:r>
      <w:r w:rsidRPr="00924C0F">
        <w:rPr>
          <w:rFonts w:ascii="Times New Roman" w:hAnsi="Times New Roman" w:cs="Times New Roman"/>
        </w:rPr>
        <w:t xml:space="preserve"> </w:t>
      </w:r>
    </w:p>
    <w:p w14:paraId="2DD7D43B" w14:textId="4BF5B306"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I granskningen Fråga om åsiktsregistrering inom Regeringskansliet anför KU att de allra flesta tjänstemän i Regeringskansliet inte är politiskt tillsatta utan behåller sina anställningar vid regeringsskiften, oavsett regeringens politiska sammansättning. Det är väsentligt att dessa tjänstemän rekryteras på sakliga grunder. Dessa tjänstemän bidrar med sin kompetens oavsett regeringens politiska inriktning. KU anser liksom tidigare att denna ordning är av central betydelse och framhåller vikten av att den består. </w:t>
      </w:r>
    </w:p>
    <w:p w14:paraId="118E261E"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KU har inget att invända mot de interna processer som redovisas i granskningen för rekryteringar och befordringar i Regeringskansliet och förutsätter att ledningen ser till att dessa processer upprätthålls. Åsiktsregistrering av medarbetares politiska uppfattningar får naturligtvis inte förekomma.</w:t>
      </w:r>
    </w:p>
    <w:p w14:paraId="66A67289" w14:textId="15590FE3" w:rsidR="00264C53" w:rsidRPr="00924C0F" w:rsidRDefault="00924C0F" w:rsidP="00924C0F">
      <w:pPr>
        <w:jc w:val="both"/>
        <w:rPr>
          <w:rFonts w:ascii="Times New Roman" w:hAnsi="Times New Roman" w:cs="Times New Roman"/>
        </w:rPr>
      </w:pPr>
      <w:r w:rsidRPr="00924C0F">
        <w:rPr>
          <w:rFonts w:ascii="Times New Roman" w:hAnsi="Times New Roman" w:cs="Times New Roman"/>
        </w:rPr>
        <w:t>I granskningen har Regeringskansliet också anfört att man inte dokumenterar opolitiska tjänstemäns partitillhörighet eller personliga politiska uppfattningar.</w:t>
      </w:r>
    </w:p>
    <w:p w14:paraId="666210B7"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t>Det så kallade tjänstemannauppropet inom Regeringskansliet [G16]</w:t>
      </w:r>
      <w:r w:rsidRPr="00924C0F">
        <w:rPr>
          <w:rFonts w:ascii="Times New Roman" w:hAnsi="Times New Roman" w:cs="Times New Roman"/>
        </w:rPr>
        <w:t xml:space="preserve"> </w:t>
      </w:r>
    </w:p>
    <w:p w14:paraId="3198B827"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KU har även granskat hanteringen av det så kallade tjänstemannauppropet inom Regeringskansliet hösten 2018. Det brev som är aktuellt i granskningen var från medarbetare vid Regeringskansliet och ställt till Regeringskansliets förvaltningschef. </w:t>
      </w:r>
    </w:p>
    <w:p w14:paraId="2E85F19A"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När det gäller hanteringen av brevet från arbetsrättslig synpunkt noterar KU att efter det att brevet mottagits av förvaltningschefen genomfördes möten med företrädare för arbetstagarorganisationerna och med företrädare för den grupp som undertecknat brevet. Därefter genomfördes ett möte på Utrikesdepartementet där såväl politisk som opolitisk ledning deltog. Efter brevet har ett antal åtgärder vidtagits för att informera om tjänstemannarollen och de opolitiska tjänstemännens roll i förhållande till den politiska ledningen. </w:t>
      </w:r>
    </w:p>
    <w:p w14:paraId="208C579E" w14:textId="4ADD800B" w:rsidR="00924C0F" w:rsidRPr="00924C0F" w:rsidRDefault="00924C0F" w:rsidP="00924C0F">
      <w:pPr>
        <w:jc w:val="both"/>
        <w:rPr>
          <w:rFonts w:ascii="Times New Roman" w:hAnsi="Times New Roman" w:cs="Times New Roman"/>
        </w:rPr>
      </w:pPr>
      <w:r w:rsidRPr="00924C0F">
        <w:rPr>
          <w:rFonts w:ascii="Times New Roman" w:hAnsi="Times New Roman" w:cs="Times New Roman"/>
        </w:rPr>
        <w:t>KU anför vidare att det stora flertalet tjänstemän i Regeringskansliet inte är politiskt tillsatta utan behåller sina anställningar vid regeringsskiften, oavsett regeringens politiska sammansättning. Dessa tjänstemän bidrar med sin kompetens oavsett regeringens politiska inriktning. KU anser liksom tidigare att denna ordning är av central betydelse och framhåller vikten av att den består. Ett regeringskansli som biträder varje regering oavsett dess politiska inriktning är i grunden en demokratifråga. Varje regering ska kunna förutsätta att Regeringskansliet är lojalt mot denna uppgift.</w:t>
      </w:r>
    </w:p>
    <w:p w14:paraId="56CA5EAB"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t>Uttalanden om den utrikespolitiska linjen gentemot Israel [G21]</w:t>
      </w:r>
      <w:r w:rsidRPr="00924C0F">
        <w:rPr>
          <w:rFonts w:ascii="Times New Roman" w:hAnsi="Times New Roman" w:cs="Times New Roman"/>
        </w:rPr>
        <w:t xml:space="preserve"> </w:t>
      </w:r>
    </w:p>
    <w:p w14:paraId="5E8D9977"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Även uttalanden om den utrikespolitiska linjen gentemot Israel har granskats. I granskningen uppmärksammas uttalanden som vice statsminister Ebba Busch (KD) gjort i egenskap av partiledare. </w:t>
      </w:r>
    </w:p>
    <w:p w14:paraId="74A411ED"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KU har tidigare framhållit att utrikesministerns uttalanden måste anses ha särskild auktoritet när det gäller regeringens hållning i en utrikespolitisk fråga. Ett uttalande som uppfattas stå i strid med regeringens officiella hållning kan skapa oklarhet och risk för komplikationer, särskilt </w:t>
      </w:r>
      <w:r w:rsidRPr="00924C0F">
        <w:rPr>
          <w:rFonts w:ascii="Times New Roman" w:hAnsi="Times New Roman" w:cs="Times New Roman"/>
        </w:rPr>
        <w:lastRenderedPageBreak/>
        <w:t xml:space="preserve">om det rör förhållanden till en utländsk stat. Uttalanden av statsministern har självfallet genom hans eller hennes särskilda ställning i regeringen också en särskild auktoritet. </w:t>
      </w:r>
    </w:p>
    <w:p w14:paraId="14CE1BCA"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När det gäller titeln vice statsminister konstaterar KU att den konstitutionella ställningen inte skiljer sig från övriga statsråd. Titeln har dock ansetts ge fördelar i internationella sammanhang och innebörden av en sådan titel varierar mellan olika länder. KU vill därför uppmärksamma att användande av titeln vice statsminister kan skapa oklarhet utomlands om huruvida det statsrådet har en särställning, vilket kan påverka hur exempelvis ett uttalande uppfattas. Det är lämpligt att varje statsråd gör en avstämning mot regeringens officiella hållning innan han eller hon uttalar sig på utrikespolitikens område. Inte minst gäller det statsråd med titeln vice statsminister. </w:t>
      </w:r>
    </w:p>
    <w:p w14:paraId="0152D2AD" w14:textId="5550B8CB" w:rsidR="00924C0F" w:rsidRPr="00924C0F" w:rsidRDefault="00924C0F">
      <w:pPr>
        <w:rPr>
          <w:rFonts w:ascii="Times New Roman" w:hAnsi="Times New Roman" w:cs="Times New Roman"/>
        </w:rPr>
      </w:pPr>
      <w:r w:rsidRPr="00924C0F">
        <w:rPr>
          <w:rFonts w:ascii="Times New Roman" w:hAnsi="Times New Roman" w:cs="Times New Roman"/>
        </w:rPr>
        <w:t>Mot bakgrund av att uttalandena gjordes av vice statsministern i hennes egenskap av partiledare ger granskningen inte anledning till något uttalande av KU.</w:t>
      </w:r>
    </w:p>
    <w:p w14:paraId="10CD5004" w14:textId="77777777" w:rsidR="00924C0F" w:rsidRPr="00924C0F" w:rsidRDefault="00924C0F">
      <w:pPr>
        <w:rPr>
          <w:rFonts w:ascii="Times New Roman" w:hAnsi="Times New Roman" w:cs="Times New Roman"/>
        </w:rPr>
      </w:pPr>
      <w:r w:rsidRPr="00924C0F">
        <w:rPr>
          <w:rFonts w:ascii="Times New Roman" w:hAnsi="Times New Roman" w:cs="Times New Roman"/>
          <w:b/>
          <w:bCs/>
          <w:i/>
          <w:iCs/>
        </w:rPr>
        <w:t>Bistånds- och utrikeshandelsministerns agerande i fråga om Sidas hantering av ansökan från en stiftelse [G20]</w:t>
      </w:r>
      <w:r w:rsidRPr="00924C0F">
        <w:rPr>
          <w:rFonts w:ascii="Times New Roman" w:hAnsi="Times New Roman" w:cs="Times New Roman"/>
        </w:rPr>
        <w:t xml:space="preserve"> </w:t>
      </w:r>
    </w:p>
    <w:p w14:paraId="5FC44EC9"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Slutligen har KU granskat bistånds- och utrikeshandelsminister Benjamin </w:t>
      </w:r>
      <w:proofErr w:type="spellStart"/>
      <w:r w:rsidRPr="00924C0F">
        <w:rPr>
          <w:rFonts w:ascii="Times New Roman" w:hAnsi="Times New Roman" w:cs="Times New Roman"/>
        </w:rPr>
        <w:t>Dousas</w:t>
      </w:r>
      <w:proofErr w:type="spellEnd"/>
      <w:r w:rsidRPr="00924C0F">
        <w:rPr>
          <w:rFonts w:ascii="Times New Roman" w:hAnsi="Times New Roman" w:cs="Times New Roman"/>
        </w:rPr>
        <w:t xml:space="preserve"> (M) agerande i fråga om Sidas hantering av ansökan från en stiftelse. I januari 2025 efterfrågade företrädare för stiftelsen i ett mejl till statssekreteraren ett ”bredare anslag” när det gällde tolkningen av strategin för särskilt demokratistöd genom svenska partianknutna organisationer (så kallade PAO). </w:t>
      </w:r>
    </w:p>
    <w:p w14:paraId="2AEF63FE"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Vid ett samtal med Sida framhöll Utrikesdepartementet vikten av att myndigheten gjorde vad som var möjligt inom ramen för regelverket och strategins syfte när det gällde hanteringen av stiftelsens ansökan. I maj 2025 meddelade Sidas dåvarande generaldirektör i ett brev till stiftelsen att Sida ansåg att strategins syfte framgent kan tolkas bredare, förutsatt att de krav som Sida ställer på alla biståndsfinansierade insatser i övrigt uppfylls. </w:t>
      </w:r>
    </w:p>
    <w:p w14:paraId="5846FF00" w14:textId="77777777" w:rsidR="00924C0F" w:rsidRPr="00924C0F" w:rsidRDefault="00924C0F" w:rsidP="00924C0F">
      <w:pPr>
        <w:jc w:val="both"/>
        <w:rPr>
          <w:rFonts w:ascii="Times New Roman" w:hAnsi="Times New Roman" w:cs="Times New Roman"/>
        </w:rPr>
      </w:pPr>
      <w:r w:rsidRPr="00924C0F">
        <w:rPr>
          <w:rFonts w:ascii="Times New Roman" w:hAnsi="Times New Roman" w:cs="Times New Roman"/>
        </w:rPr>
        <w:t>Enligt KU finns det i en fungerande statsapparat ett behov av informella kontakter mellan förvaltningsmyndigheter och regeringen. Genom sådana kontakter kan regeringen hållas informerad och myndigheten kan få regeringens intentioner och krav på myndigheten klarlagda. Det är väsentligt att de informella kontakterna inte går utöver den formella ramen för myndigheternas verksamhet och att dessa kontakter är mer inriktade på information än styrning.</w:t>
      </w:r>
    </w:p>
    <w:p w14:paraId="01D19847" w14:textId="3CDBD354" w:rsidR="00924C0F" w:rsidRPr="00924C0F" w:rsidRDefault="00924C0F" w:rsidP="00924C0F">
      <w:pPr>
        <w:jc w:val="both"/>
        <w:rPr>
          <w:rFonts w:ascii="Times New Roman" w:hAnsi="Times New Roman" w:cs="Times New Roman"/>
        </w:rPr>
      </w:pPr>
      <w:r w:rsidRPr="00924C0F">
        <w:rPr>
          <w:rFonts w:ascii="Times New Roman" w:hAnsi="Times New Roman" w:cs="Times New Roman"/>
        </w:rPr>
        <w:t xml:space="preserve"> När det gäller den internkontrollgranskning av stiftelsen som genomförts av ett konsultbolag konstaterar KU att uppföljningen av den granskningen är en fråga för Sida. Det är Sidas ansvar att säkerställa att organisationer som tar emot stöd lever upp till gällande regelverk för att ta emot stöd. I det avseendet är det också en självklarhet att Sida har en dialog med organisationer som är berättigade att söka stöd och ser till att vägleda dem så att de kan leva upp till regelverket. KU framhåller vikten av att kontakter mellan departement och myndighet inte inbegriper ifrågasättanden av bedömningar i enskilda ärenden.</w:t>
      </w:r>
    </w:p>
    <w:sectPr w:rsidR="00924C0F" w:rsidRPr="00924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53"/>
    <w:rsid w:val="00264C53"/>
    <w:rsid w:val="002F7F46"/>
    <w:rsid w:val="008C1D77"/>
    <w:rsid w:val="00924C0F"/>
    <w:rsid w:val="00B7517C"/>
    <w:rsid w:val="00E94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1550"/>
  <w15:chartTrackingRefBased/>
  <w15:docId w15:val="{06E89C2C-8E7F-477B-9E49-391B071A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6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6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64C5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64C5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64C5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64C5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64C5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64C5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64C5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4C5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64C5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64C5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64C5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64C5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64C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64C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64C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64C53"/>
    <w:rPr>
      <w:rFonts w:eastAsiaTheme="majorEastAsia" w:cstheme="majorBidi"/>
      <w:color w:val="272727" w:themeColor="text1" w:themeTint="D8"/>
    </w:rPr>
  </w:style>
  <w:style w:type="paragraph" w:styleId="Rubrik">
    <w:name w:val="Title"/>
    <w:basedOn w:val="Normal"/>
    <w:next w:val="Normal"/>
    <w:link w:val="RubrikChar"/>
    <w:uiPriority w:val="10"/>
    <w:qFormat/>
    <w:rsid w:val="0026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64C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64C5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64C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4C5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64C53"/>
    <w:rPr>
      <w:i/>
      <w:iCs/>
      <w:color w:val="404040" w:themeColor="text1" w:themeTint="BF"/>
    </w:rPr>
  </w:style>
  <w:style w:type="paragraph" w:styleId="Liststycke">
    <w:name w:val="List Paragraph"/>
    <w:basedOn w:val="Normal"/>
    <w:uiPriority w:val="34"/>
    <w:qFormat/>
    <w:rsid w:val="00264C53"/>
    <w:pPr>
      <w:ind w:left="720"/>
      <w:contextualSpacing/>
    </w:pPr>
  </w:style>
  <w:style w:type="character" w:styleId="Starkbetoning">
    <w:name w:val="Intense Emphasis"/>
    <w:basedOn w:val="Standardstycketeckensnitt"/>
    <w:uiPriority w:val="21"/>
    <w:qFormat/>
    <w:rsid w:val="00264C53"/>
    <w:rPr>
      <w:i/>
      <w:iCs/>
      <w:color w:val="0F4761" w:themeColor="accent1" w:themeShade="BF"/>
    </w:rPr>
  </w:style>
  <w:style w:type="paragraph" w:styleId="Starktcitat">
    <w:name w:val="Intense Quote"/>
    <w:basedOn w:val="Normal"/>
    <w:next w:val="Normal"/>
    <w:link w:val="StarktcitatChar"/>
    <w:uiPriority w:val="30"/>
    <w:qFormat/>
    <w:rsid w:val="0026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64C53"/>
    <w:rPr>
      <w:i/>
      <w:iCs/>
      <w:color w:val="0F4761" w:themeColor="accent1" w:themeShade="BF"/>
    </w:rPr>
  </w:style>
  <w:style w:type="character" w:styleId="Starkreferens">
    <w:name w:val="Intense Reference"/>
    <w:basedOn w:val="Standardstycketeckensnitt"/>
    <w:uiPriority w:val="32"/>
    <w:qFormat/>
    <w:rsid w:val="00264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3445</Words>
  <Characters>21297</Characters>
  <Application>Microsoft Office Word</Application>
  <DocSecurity>0</DocSecurity>
  <Lines>394</Lines>
  <Paragraphs>121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Hedberg</dc:creator>
  <cp:keywords/>
  <dc:description/>
  <cp:lastModifiedBy>Peter Hedberg</cp:lastModifiedBy>
  <cp:revision>1</cp:revision>
  <dcterms:created xsi:type="dcterms:W3CDTF">2026-06-09T08:16:00Z</dcterms:created>
  <dcterms:modified xsi:type="dcterms:W3CDTF">2026-06-09T08:40:00Z</dcterms:modified>
</cp:coreProperties>
</file>