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8F70" w14:textId="77777777" w:rsidR="00240819" w:rsidRPr="005A394A" w:rsidRDefault="00240819" w:rsidP="00D2588E">
      <w:pPr>
        <w:jc w:val="center"/>
        <w:rPr>
          <w:rFonts w:ascii="Cambria" w:hAnsi="Cambria"/>
          <w:b/>
          <w:lang w:val="sv-SE"/>
        </w:rPr>
      </w:pPr>
    </w:p>
    <w:p w14:paraId="504E9227" w14:textId="77777777" w:rsidR="00240819" w:rsidRPr="005A394A" w:rsidRDefault="00240819" w:rsidP="00D2588E">
      <w:pPr>
        <w:jc w:val="center"/>
        <w:rPr>
          <w:rFonts w:ascii="Cambria" w:hAnsi="Cambria"/>
          <w:b/>
          <w:lang w:val="sv-SE"/>
        </w:rPr>
      </w:pPr>
    </w:p>
    <w:p w14:paraId="7149D388" w14:textId="77777777" w:rsidR="00240819" w:rsidRPr="005A394A" w:rsidRDefault="00240819" w:rsidP="00D2588E">
      <w:pPr>
        <w:jc w:val="center"/>
        <w:rPr>
          <w:rFonts w:ascii="Cambria" w:hAnsi="Cambria"/>
          <w:b/>
          <w:lang w:val="sv-SE"/>
        </w:rPr>
      </w:pPr>
    </w:p>
    <w:p w14:paraId="384501CA" w14:textId="77777777" w:rsidR="00240819" w:rsidRPr="005A394A" w:rsidRDefault="00240819" w:rsidP="00D2588E">
      <w:pPr>
        <w:jc w:val="center"/>
        <w:rPr>
          <w:rFonts w:ascii="Cambria" w:hAnsi="Cambria"/>
          <w:b/>
          <w:lang w:val="sv-SE"/>
        </w:rPr>
      </w:pPr>
    </w:p>
    <w:p w14:paraId="4A62861D" w14:textId="77777777" w:rsidR="00240819" w:rsidRPr="005A394A" w:rsidRDefault="00240819" w:rsidP="00D2588E">
      <w:pPr>
        <w:jc w:val="center"/>
        <w:rPr>
          <w:rFonts w:ascii="Cambria" w:hAnsi="Cambria"/>
          <w:b/>
          <w:lang w:val="sv-SE"/>
        </w:rPr>
      </w:pPr>
    </w:p>
    <w:p w14:paraId="40BFD74F" w14:textId="77777777" w:rsidR="00240819" w:rsidRPr="005A394A" w:rsidRDefault="00240819" w:rsidP="00D2588E">
      <w:pPr>
        <w:jc w:val="center"/>
        <w:rPr>
          <w:rFonts w:ascii="Cambria" w:hAnsi="Cambria"/>
          <w:b/>
          <w:lang w:val="sv-SE"/>
        </w:rPr>
      </w:pPr>
    </w:p>
    <w:p w14:paraId="1AB3C433" w14:textId="77777777" w:rsidR="00240819" w:rsidRPr="005A394A" w:rsidRDefault="00240819" w:rsidP="00D2588E">
      <w:pPr>
        <w:jc w:val="center"/>
        <w:rPr>
          <w:rFonts w:ascii="Cambria" w:hAnsi="Cambria"/>
          <w:b/>
          <w:lang w:val="sv-SE"/>
        </w:rPr>
      </w:pPr>
    </w:p>
    <w:p w14:paraId="7D7A8B7A" w14:textId="77777777" w:rsidR="00240819" w:rsidRPr="005A394A" w:rsidRDefault="00240819" w:rsidP="00D2588E">
      <w:pPr>
        <w:jc w:val="center"/>
        <w:rPr>
          <w:rFonts w:ascii="Cambria" w:hAnsi="Cambria"/>
          <w:b/>
          <w:lang w:val="sv-SE"/>
        </w:rPr>
      </w:pPr>
    </w:p>
    <w:p w14:paraId="6145B4F0" w14:textId="77777777" w:rsidR="00240819" w:rsidRPr="005A394A" w:rsidRDefault="00240819" w:rsidP="00D2588E">
      <w:pPr>
        <w:jc w:val="center"/>
        <w:rPr>
          <w:rFonts w:ascii="Cambria" w:hAnsi="Cambria"/>
          <w:b/>
          <w:lang w:val="sv-SE"/>
        </w:rPr>
      </w:pPr>
    </w:p>
    <w:p w14:paraId="4A3B5180" w14:textId="77777777" w:rsidR="00240819" w:rsidRPr="005A394A" w:rsidRDefault="00240819" w:rsidP="00D2588E">
      <w:pPr>
        <w:jc w:val="center"/>
        <w:rPr>
          <w:rFonts w:ascii="Cambria" w:hAnsi="Cambria"/>
          <w:b/>
          <w:lang w:val="sv-SE"/>
        </w:rPr>
      </w:pPr>
    </w:p>
    <w:p w14:paraId="60B26E12" w14:textId="77777777" w:rsidR="00240819" w:rsidRPr="005A394A" w:rsidRDefault="00240819" w:rsidP="00D2588E">
      <w:pPr>
        <w:jc w:val="center"/>
        <w:rPr>
          <w:rFonts w:ascii="Cambria" w:hAnsi="Cambria"/>
          <w:b/>
          <w:lang w:val="sv-SE"/>
        </w:rPr>
      </w:pPr>
    </w:p>
    <w:p w14:paraId="383588D3" w14:textId="77777777" w:rsidR="00240819" w:rsidRPr="005A394A" w:rsidRDefault="00240819" w:rsidP="00D2588E">
      <w:pPr>
        <w:jc w:val="center"/>
        <w:rPr>
          <w:rFonts w:ascii="Cambria" w:hAnsi="Cambria"/>
          <w:b/>
          <w:lang w:val="sv-SE"/>
        </w:rPr>
      </w:pPr>
    </w:p>
    <w:p w14:paraId="78CEC9C9" w14:textId="77777777" w:rsidR="00240819" w:rsidRPr="005A394A" w:rsidRDefault="00240819" w:rsidP="00D2588E">
      <w:pPr>
        <w:jc w:val="center"/>
        <w:rPr>
          <w:rFonts w:ascii="Cambria" w:hAnsi="Cambria"/>
          <w:b/>
          <w:lang w:val="sv-SE"/>
        </w:rPr>
      </w:pPr>
    </w:p>
    <w:p w14:paraId="30201AA2" w14:textId="77777777" w:rsidR="00240819" w:rsidRPr="005A394A" w:rsidRDefault="00240819" w:rsidP="00D2588E">
      <w:pPr>
        <w:jc w:val="center"/>
        <w:rPr>
          <w:rFonts w:ascii="Cambria" w:hAnsi="Cambria"/>
          <w:b/>
          <w:lang w:val="sv-SE"/>
        </w:rPr>
      </w:pPr>
    </w:p>
    <w:p w14:paraId="5AAA8102" w14:textId="77777777" w:rsidR="00240819" w:rsidRPr="005A394A" w:rsidRDefault="00240819" w:rsidP="00D2588E">
      <w:pPr>
        <w:jc w:val="center"/>
        <w:rPr>
          <w:rFonts w:ascii="Cambria" w:hAnsi="Cambria"/>
          <w:b/>
          <w:lang w:val="sv-SE"/>
        </w:rPr>
      </w:pPr>
    </w:p>
    <w:p w14:paraId="5A24007E" w14:textId="77777777" w:rsidR="00240819" w:rsidRPr="005A394A" w:rsidRDefault="00240819" w:rsidP="00D2588E">
      <w:pPr>
        <w:jc w:val="center"/>
        <w:rPr>
          <w:rFonts w:ascii="Cambria" w:hAnsi="Cambria"/>
          <w:b/>
          <w:lang w:val="sv-SE"/>
        </w:rPr>
      </w:pPr>
    </w:p>
    <w:p w14:paraId="3233C8A7" w14:textId="77777777" w:rsidR="00240819" w:rsidRPr="005A394A" w:rsidRDefault="00240819" w:rsidP="00D2588E">
      <w:pPr>
        <w:jc w:val="center"/>
        <w:rPr>
          <w:rFonts w:ascii="Cambria" w:hAnsi="Cambria"/>
          <w:b/>
          <w:lang w:val="sv-SE"/>
        </w:rPr>
      </w:pPr>
    </w:p>
    <w:p w14:paraId="07A57135" w14:textId="77777777" w:rsidR="00240819" w:rsidRPr="005A394A" w:rsidRDefault="00240819" w:rsidP="00D2588E">
      <w:pPr>
        <w:jc w:val="center"/>
        <w:rPr>
          <w:rFonts w:ascii="Cambria" w:hAnsi="Cambria"/>
          <w:b/>
          <w:lang w:val="sv-SE"/>
        </w:rPr>
      </w:pPr>
    </w:p>
    <w:p w14:paraId="70F4BD1E" w14:textId="77777777" w:rsidR="00240819" w:rsidRPr="005A394A" w:rsidRDefault="00240819" w:rsidP="00D2588E">
      <w:pPr>
        <w:jc w:val="center"/>
        <w:rPr>
          <w:rFonts w:ascii="Cambria" w:hAnsi="Cambria"/>
          <w:b/>
          <w:sz w:val="32"/>
          <w:szCs w:val="32"/>
          <w:lang w:val="sv-SE"/>
        </w:rPr>
      </w:pPr>
    </w:p>
    <w:p w14:paraId="3D985DB1" w14:textId="36057998" w:rsidR="001B18BF" w:rsidRPr="001B18BF" w:rsidRDefault="005C67F6" w:rsidP="00DB724F">
      <w:pPr>
        <w:jc w:val="center"/>
        <w:rPr>
          <w:rFonts w:ascii="Cambria" w:hAnsi="Cambria"/>
          <w:b/>
          <w:sz w:val="56"/>
          <w:szCs w:val="56"/>
          <w:lang w:val="sv-SE"/>
        </w:rPr>
      </w:pPr>
      <w:r w:rsidRPr="001B18BF">
        <w:rPr>
          <w:rFonts w:ascii="Cambria" w:hAnsi="Cambria"/>
          <w:b/>
          <w:sz w:val="56"/>
          <w:szCs w:val="56"/>
          <w:lang w:val="sv-SE"/>
        </w:rPr>
        <w:t>Förhastade förändringar</w:t>
      </w:r>
    </w:p>
    <w:p w14:paraId="56BC4D1C" w14:textId="77777777" w:rsidR="001B18BF" w:rsidRDefault="001B18BF" w:rsidP="00DB724F">
      <w:pPr>
        <w:jc w:val="center"/>
        <w:rPr>
          <w:rFonts w:ascii="Cambria" w:hAnsi="Cambria"/>
          <w:b/>
          <w:sz w:val="32"/>
          <w:szCs w:val="32"/>
          <w:lang w:val="sv-SE"/>
        </w:rPr>
      </w:pPr>
    </w:p>
    <w:p w14:paraId="49627EF2" w14:textId="77777777" w:rsidR="00F3491D" w:rsidRDefault="005C67F6" w:rsidP="00DB724F">
      <w:pPr>
        <w:jc w:val="center"/>
        <w:rPr>
          <w:rFonts w:ascii="Cambria" w:hAnsi="Cambria"/>
          <w:b/>
          <w:sz w:val="32"/>
          <w:szCs w:val="32"/>
          <w:lang w:val="sv-SE"/>
        </w:rPr>
      </w:pPr>
      <w:r>
        <w:rPr>
          <w:rFonts w:ascii="Cambria" w:hAnsi="Cambria"/>
          <w:b/>
          <w:sz w:val="32"/>
          <w:szCs w:val="32"/>
          <w:lang w:val="sv-SE"/>
        </w:rPr>
        <w:t xml:space="preserve"> En granskning av </w:t>
      </w:r>
      <w:r w:rsidR="001B18BF">
        <w:rPr>
          <w:rFonts w:ascii="Cambria" w:hAnsi="Cambria"/>
          <w:b/>
          <w:sz w:val="32"/>
          <w:szCs w:val="32"/>
          <w:lang w:val="sv-SE"/>
        </w:rPr>
        <w:t xml:space="preserve">sjukvårdspolitikens </w:t>
      </w:r>
    </w:p>
    <w:p w14:paraId="7B61C21E" w14:textId="486442C6" w:rsidR="008A5AAC" w:rsidRPr="005A394A" w:rsidRDefault="001B18BF" w:rsidP="00DB724F">
      <w:pPr>
        <w:jc w:val="center"/>
        <w:rPr>
          <w:rFonts w:ascii="Cambria" w:hAnsi="Cambria"/>
          <w:b/>
          <w:sz w:val="32"/>
          <w:szCs w:val="32"/>
          <w:lang w:val="sv-SE"/>
        </w:rPr>
      </w:pPr>
      <w:r>
        <w:rPr>
          <w:rFonts w:ascii="Cambria" w:hAnsi="Cambria"/>
          <w:b/>
          <w:sz w:val="32"/>
          <w:szCs w:val="32"/>
          <w:lang w:val="sv-SE"/>
        </w:rPr>
        <w:t xml:space="preserve">nya inriktning i Region Stockholm </w:t>
      </w:r>
    </w:p>
    <w:p w14:paraId="55050E78" w14:textId="77777777" w:rsidR="00240819" w:rsidRDefault="00240819" w:rsidP="00D2588E">
      <w:pPr>
        <w:jc w:val="center"/>
        <w:rPr>
          <w:rFonts w:ascii="Cambria" w:hAnsi="Cambria"/>
          <w:b/>
          <w:sz w:val="36"/>
          <w:szCs w:val="36"/>
          <w:lang w:val="sv-SE"/>
        </w:rPr>
      </w:pPr>
    </w:p>
    <w:p w14:paraId="3468FCED" w14:textId="77777777" w:rsidR="001B18BF" w:rsidRPr="005A394A" w:rsidRDefault="001B18BF" w:rsidP="00D2588E">
      <w:pPr>
        <w:jc w:val="center"/>
        <w:rPr>
          <w:rFonts w:ascii="Cambria" w:hAnsi="Cambria"/>
          <w:b/>
          <w:sz w:val="36"/>
          <w:szCs w:val="36"/>
          <w:lang w:val="sv-SE"/>
        </w:rPr>
      </w:pPr>
    </w:p>
    <w:p w14:paraId="49221C2C" w14:textId="0BA508D2" w:rsidR="00240819" w:rsidRDefault="0008371C" w:rsidP="001606E6">
      <w:pPr>
        <w:jc w:val="center"/>
        <w:rPr>
          <w:rFonts w:ascii="Cambria" w:hAnsi="Cambria"/>
          <w:lang w:val="sv-SE"/>
        </w:rPr>
      </w:pPr>
      <w:r>
        <w:rPr>
          <w:rFonts w:ascii="Cambria" w:hAnsi="Cambria"/>
          <w:lang w:val="sv-SE"/>
        </w:rPr>
        <w:t>Gabriel Heller</w:t>
      </w:r>
      <w:r w:rsidR="005D1CB1">
        <w:rPr>
          <w:rFonts w:ascii="Cambria" w:hAnsi="Cambria"/>
          <w:lang w:val="sv-SE"/>
        </w:rPr>
        <w:t xml:space="preserve"> </w:t>
      </w:r>
      <w:r w:rsidR="00240819" w:rsidRPr="005A394A">
        <w:rPr>
          <w:rFonts w:ascii="Cambria" w:hAnsi="Cambria"/>
          <w:lang w:val="sv-SE"/>
        </w:rPr>
        <w:t>Sahlgren</w:t>
      </w:r>
      <w:r w:rsidR="00CE72D9">
        <w:rPr>
          <w:rFonts w:ascii="Cambria" w:hAnsi="Cambria"/>
          <w:lang w:val="sv-SE"/>
        </w:rPr>
        <w:t xml:space="preserve"> och Henrik Jordahl</w:t>
      </w:r>
    </w:p>
    <w:p w14:paraId="225062FA" w14:textId="77777777" w:rsidR="00CE72D9" w:rsidRPr="005A394A" w:rsidRDefault="00CE72D9" w:rsidP="001606E6">
      <w:pPr>
        <w:jc w:val="center"/>
        <w:rPr>
          <w:rFonts w:ascii="Cambria" w:hAnsi="Cambria"/>
          <w:lang w:val="sv-SE"/>
        </w:rPr>
      </w:pPr>
    </w:p>
    <w:p w14:paraId="257C1DA3" w14:textId="77777777" w:rsidR="004746A2" w:rsidRPr="005A394A" w:rsidRDefault="004746A2" w:rsidP="004746A2">
      <w:pPr>
        <w:rPr>
          <w:rFonts w:ascii="Cambria" w:eastAsiaTheme="majorEastAsia" w:hAnsi="Cambria" w:cstheme="majorBidi"/>
          <w:b/>
          <w:bCs/>
          <w:color w:val="345A8A" w:themeColor="accent1" w:themeShade="B5"/>
          <w:lang w:val="sv-SE"/>
        </w:rPr>
      </w:pPr>
    </w:p>
    <w:p w14:paraId="2589AD37" w14:textId="77777777" w:rsidR="004746A2" w:rsidRPr="005A394A" w:rsidRDefault="004746A2" w:rsidP="004746A2">
      <w:pPr>
        <w:rPr>
          <w:rFonts w:ascii="Cambria" w:eastAsiaTheme="majorEastAsia" w:hAnsi="Cambria" w:cstheme="majorBidi"/>
          <w:b/>
          <w:bCs/>
          <w:color w:val="345A8A" w:themeColor="accent1" w:themeShade="B5"/>
          <w:lang w:val="sv-SE"/>
        </w:rPr>
      </w:pPr>
    </w:p>
    <w:p w14:paraId="133C874D" w14:textId="141F4395" w:rsidR="004746A2" w:rsidRPr="005A394A" w:rsidRDefault="004746A2" w:rsidP="004746A2">
      <w:pPr>
        <w:rPr>
          <w:rFonts w:ascii="Cambria" w:eastAsiaTheme="majorEastAsia" w:hAnsi="Cambria" w:cstheme="majorBidi"/>
          <w:b/>
          <w:bCs/>
          <w:color w:val="345A8A" w:themeColor="accent1" w:themeShade="B5"/>
          <w:lang w:val="sv-SE"/>
        </w:rPr>
      </w:pPr>
      <w:r w:rsidRPr="005A394A">
        <w:rPr>
          <w:rFonts w:ascii="Cambria" w:eastAsiaTheme="majorEastAsia" w:hAnsi="Cambria" w:cstheme="majorBidi"/>
          <w:b/>
          <w:bCs/>
          <w:color w:val="345A8A" w:themeColor="accent1" w:themeShade="B5"/>
          <w:lang w:val="sv-SE"/>
        </w:rPr>
        <w:br w:type="page"/>
      </w:r>
    </w:p>
    <w:sdt>
      <w:sdtPr>
        <w:rPr>
          <w:rFonts w:ascii="Cambria" w:eastAsiaTheme="minorEastAsia" w:hAnsi="Cambria" w:cstheme="minorBidi"/>
          <w:b w:val="0"/>
          <w:bCs w:val="0"/>
          <w:color w:val="auto"/>
          <w:sz w:val="24"/>
          <w:szCs w:val="24"/>
          <w:lang w:val="sv-SE" w:eastAsia="en-GB"/>
        </w:rPr>
        <w:id w:val="1479408769"/>
        <w:docPartObj>
          <w:docPartGallery w:val="Table of Contents"/>
          <w:docPartUnique/>
        </w:docPartObj>
      </w:sdtPr>
      <w:sdtEndPr>
        <w:rPr>
          <w:noProof/>
        </w:rPr>
      </w:sdtEndPr>
      <w:sdtContent>
        <w:p w14:paraId="5541DB4B" w14:textId="573F0739" w:rsidR="004746A2" w:rsidRPr="005A394A" w:rsidRDefault="004746A2">
          <w:pPr>
            <w:pStyle w:val="Innehllsfrteckningsrubrik"/>
            <w:rPr>
              <w:rFonts w:ascii="Cambria" w:hAnsi="Cambria"/>
              <w:lang w:val="sv-SE"/>
            </w:rPr>
          </w:pPr>
          <w:r w:rsidRPr="005A394A">
            <w:rPr>
              <w:rFonts w:ascii="Cambria" w:hAnsi="Cambria"/>
              <w:lang w:val="sv-SE"/>
            </w:rPr>
            <w:t>Innehåll</w:t>
          </w:r>
        </w:p>
        <w:p w14:paraId="7FDF3C25" w14:textId="2C29103C" w:rsidR="002C45AA" w:rsidRDefault="004746A2">
          <w:pPr>
            <w:pStyle w:val="Innehll1"/>
            <w:rPr>
              <w:b w:val="0"/>
              <w:noProof/>
              <w:kern w:val="2"/>
              <w:lang w:eastAsia="sv-SE"/>
              <w14:ligatures w14:val="standardContextual"/>
            </w:rPr>
          </w:pPr>
          <w:r w:rsidRPr="005A394A">
            <w:rPr>
              <w:rFonts w:ascii="Cambria" w:hAnsi="Cambria"/>
            </w:rPr>
            <w:fldChar w:fldCharType="begin"/>
          </w:r>
          <w:r w:rsidRPr="005A394A">
            <w:rPr>
              <w:rFonts w:ascii="Cambria" w:hAnsi="Cambria"/>
            </w:rPr>
            <w:instrText xml:space="preserve"> TOC \o "1-3" \h \z \u </w:instrText>
          </w:r>
          <w:r w:rsidRPr="005A394A">
            <w:rPr>
              <w:rFonts w:ascii="Cambria" w:hAnsi="Cambria"/>
            </w:rPr>
            <w:fldChar w:fldCharType="separate"/>
          </w:r>
          <w:hyperlink w:anchor="_Toc164353516" w:history="1">
            <w:r w:rsidR="002C45AA" w:rsidRPr="0054788F">
              <w:rPr>
                <w:rStyle w:val="Hyperlnk"/>
                <w:rFonts w:ascii="Cambria" w:hAnsi="Cambria"/>
                <w:noProof/>
              </w:rPr>
              <w:t>Sammanfattning</w:t>
            </w:r>
            <w:r w:rsidR="002C45AA">
              <w:rPr>
                <w:noProof/>
                <w:webHidden/>
              </w:rPr>
              <w:tab/>
            </w:r>
            <w:r w:rsidR="002C45AA">
              <w:rPr>
                <w:noProof/>
                <w:webHidden/>
              </w:rPr>
              <w:fldChar w:fldCharType="begin"/>
            </w:r>
            <w:r w:rsidR="002C45AA">
              <w:rPr>
                <w:noProof/>
                <w:webHidden/>
              </w:rPr>
              <w:instrText xml:space="preserve"> PAGEREF _Toc164353516 \h </w:instrText>
            </w:r>
            <w:r w:rsidR="002C45AA">
              <w:rPr>
                <w:noProof/>
                <w:webHidden/>
              </w:rPr>
            </w:r>
            <w:r w:rsidR="002C45AA">
              <w:rPr>
                <w:noProof/>
                <w:webHidden/>
              </w:rPr>
              <w:fldChar w:fldCharType="separate"/>
            </w:r>
            <w:r w:rsidR="002C45AA">
              <w:rPr>
                <w:noProof/>
                <w:webHidden/>
              </w:rPr>
              <w:t>2</w:t>
            </w:r>
            <w:r w:rsidR="002C45AA">
              <w:rPr>
                <w:noProof/>
                <w:webHidden/>
              </w:rPr>
              <w:fldChar w:fldCharType="end"/>
            </w:r>
          </w:hyperlink>
        </w:p>
        <w:p w14:paraId="32135ED7" w14:textId="18C2D0DE" w:rsidR="002C45AA" w:rsidRDefault="00CC31DA">
          <w:pPr>
            <w:pStyle w:val="Innehll1"/>
            <w:rPr>
              <w:b w:val="0"/>
              <w:noProof/>
              <w:kern w:val="2"/>
              <w:lang w:eastAsia="sv-SE"/>
              <w14:ligatures w14:val="standardContextual"/>
            </w:rPr>
          </w:pPr>
          <w:hyperlink w:anchor="_Toc164353517" w:history="1">
            <w:r w:rsidR="002C45AA" w:rsidRPr="0054788F">
              <w:rPr>
                <w:rStyle w:val="Hyperlnk"/>
                <w:rFonts w:ascii="Cambria" w:hAnsi="Cambria"/>
                <w:noProof/>
              </w:rPr>
              <w:t>1.</w:t>
            </w:r>
            <w:r w:rsidR="002C45AA">
              <w:rPr>
                <w:b w:val="0"/>
                <w:noProof/>
                <w:kern w:val="2"/>
                <w:lang w:eastAsia="sv-SE"/>
                <w14:ligatures w14:val="standardContextual"/>
              </w:rPr>
              <w:tab/>
            </w:r>
            <w:r w:rsidR="002C45AA" w:rsidRPr="0054788F">
              <w:rPr>
                <w:rStyle w:val="Hyperlnk"/>
                <w:rFonts w:ascii="Cambria" w:hAnsi="Cambria"/>
                <w:noProof/>
              </w:rPr>
              <w:t>Introduktion</w:t>
            </w:r>
            <w:r w:rsidR="002C45AA">
              <w:rPr>
                <w:noProof/>
                <w:webHidden/>
              </w:rPr>
              <w:tab/>
            </w:r>
            <w:r w:rsidR="002C45AA">
              <w:rPr>
                <w:noProof/>
                <w:webHidden/>
              </w:rPr>
              <w:fldChar w:fldCharType="begin"/>
            </w:r>
            <w:r w:rsidR="002C45AA">
              <w:rPr>
                <w:noProof/>
                <w:webHidden/>
              </w:rPr>
              <w:instrText xml:space="preserve"> PAGEREF _Toc164353517 \h </w:instrText>
            </w:r>
            <w:r w:rsidR="002C45AA">
              <w:rPr>
                <w:noProof/>
                <w:webHidden/>
              </w:rPr>
            </w:r>
            <w:r w:rsidR="002C45AA">
              <w:rPr>
                <w:noProof/>
                <w:webHidden/>
              </w:rPr>
              <w:fldChar w:fldCharType="separate"/>
            </w:r>
            <w:r w:rsidR="002C45AA">
              <w:rPr>
                <w:noProof/>
                <w:webHidden/>
              </w:rPr>
              <w:t>3</w:t>
            </w:r>
            <w:r w:rsidR="002C45AA">
              <w:rPr>
                <w:noProof/>
                <w:webHidden/>
              </w:rPr>
              <w:fldChar w:fldCharType="end"/>
            </w:r>
          </w:hyperlink>
        </w:p>
        <w:p w14:paraId="2C2A1A46" w14:textId="2AA30708" w:rsidR="002C45AA" w:rsidRDefault="00CC31DA">
          <w:pPr>
            <w:pStyle w:val="Innehll1"/>
            <w:rPr>
              <w:b w:val="0"/>
              <w:noProof/>
              <w:kern w:val="2"/>
              <w:lang w:eastAsia="sv-SE"/>
              <w14:ligatures w14:val="standardContextual"/>
            </w:rPr>
          </w:pPr>
          <w:hyperlink w:anchor="_Toc164353518" w:history="1">
            <w:r w:rsidR="002C45AA" w:rsidRPr="0054788F">
              <w:rPr>
                <w:rStyle w:val="Hyperlnk"/>
                <w:rFonts w:ascii="Cambria" w:hAnsi="Cambria"/>
                <w:noProof/>
              </w:rPr>
              <w:t>2.</w:t>
            </w:r>
            <w:r w:rsidR="002C45AA">
              <w:rPr>
                <w:b w:val="0"/>
                <w:noProof/>
                <w:kern w:val="2"/>
                <w:lang w:eastAsia="sv-SE"/>
                <w14:ligatures w14:val="standardContextual"/>
              </w:rPr>
              <w:tab/>
            </w:r>
            <w:r w:rsidR="002C45AA" w:rsidRPr="0054788F">
              <w:rPr>
                <w:rStyle w:val="Hyperlnk"/>
                <w:rFonts w:ascii="Cambria" w:hAnsi="Cambria"/>
                <w:noProof/>
              </w:rPr>
              <w:t>Den nya politiska inriktningen</w:t>
            </w:r>
            <w:r w:rsidR="002C45AA">
              <w:rPr>
                <w:noProof/>
                <w:webHidden/>
              </w:rPr>
              <w:tab/>
            </w:r>
            <w:r w:rsidR="002C45AA">
              <w:rPr>
                <w:noProof/>
                <w:webHidden/>
              </w:rPr>
              <w:fldChar w:fldCharType="begin"/>
            </w:r>
            <w:r w:rsidR="002C45AA">
              <w:rPr>
                <w:noProof/>
                <w:webHidden/>
              </w:rPr>
              <w:instrText xml:space="preserve"> PAGEREF _Toc164353518 \h </w:instrText>
            </w:r>
            <w:r w:rsidR="002C45AA">
              <w:rPr>
                <w:noProof/>
                <w:webHidden/>
              </w:rPr>
            </w:r>
            <w:r w:rsidR="002C45AA">
              <w:rPr>
                <w:noProof/>
                <w:webHidden/>
              </w:rPr>
              <w:fldChar w:fldCharType="separate"/>
            </w:r>
            <w:r w:rsidR="002C45AA">
              <w:rPr>
                <w:noProof/>
                <w:webHidden/>
              </w:rPr>
              <w:t>5</w:t>
            </w:r>
            <w:r w:rsidR="002C45AA">
              <w:rPr>
                <w:noProof/>
                <w:webHidden/>
              </w:rPr>
              <w:fldChar w:fldCharType="end"/>
            </w:r>
          </w:hyperlink>
        </w:p>
        <w:p w14:paraId="663EC3CC" w14:textId="508874EF" w:rsidR="002C45AA" w:rsidRDefault="00CC31DA">
          <w:pPr>
            <w:pStyle w:val="Innehll1"/>
            <w:rPr>
              <w:b w:val="0"/>
              <w:noProof/>
              <w:kern w:val="2"/>
              <w:lang w:eastAsia="sv-SE"/>
              <w14:ligatures w14:val="standardContextual"/>
            </w:rPr>
          </w:pPr>
          <w:hyperlink w:anchor="_Toc164353519" w:history="1">
            <w:r w:rsidR="002C45AA" w:rsidRPr="0054788F">
              <w:rPr>
                <w:rStyle w:val="Hyperlnk"/>
                <w:rFonts w:ascii="Cambria" w:hAnsi="Cambria"/>
                <w:noProof/>
              </w:rPr>
              <w:t>3.</w:t>
            </w:r>
            <w:r w:rsidR="002C45AA">
              <w:rPr>
                <w:b w:val="0"/>
                <w:noProof/>
                <w:kern w:val="2"/>
                <w:lang w:eastAsia="sv-SE"/>
                <w14:ligatures w14:val="standardContextual"/>
              </w:rPr>
              <w:tab/>
            </w:r>
            <w:r w:rsidR="002C45AA" w:rsidRPr="0054788F">
              <w:rPr>
                <w:rStyle w:val="Hyperlnk"/>
                <w:rFonts w:ascii="Cambria" w:hAnsi="Cambria"/>
                <w:noProof/>
              </w:rPr>
              <w:t>Underlag för beslut</w:t>
            </w:r>
            <w:r w:rsidR="002C45AA">
              <w:rPr>
                <w:noProof/>
                <w:webHidden/>
              </w:rPr>
              <w:tab/>
            </w:r>
            <w:r w:rsidR="002C45AA">
              <w:rPr>
                <w:noProof/>
                <w:webHidden/>
              </w:rPr>
              <w:fldChar w:fldCharType="begin"/>
            </w:r>
            <w:r w:rsidR="002C45AA">
              <w:rPr>
                <w:noProof/>
                <w:webHidden/>
              </w:rPr>
              <w:instrText xml:space="preserve"> PAGEREF _Toc164353519 \h </w:instrText>
            </w:r>
            <w:r w:rsidR="002C45AA">
              <w:rPr>
                <w:noProof/>
                <w:webHidden/>
              </w:rPr>
            </w:r>
            <w:r w:rsidR="002C45AA">
              <w:rPr>
                <w:noProof/>
                <w:webHidden/>
              </w:rPr>
              <w:fldChar w:fldCharType="separate"/>
            </w:r>
            <w:r w:rsidR="002C45AA">
              <w:rPr>
                <w:noProof/>
                <w:webHidden/>
              </w:rPr>
              <w:t>8</w:t>
            </w:r>
            <w:r w:rsidR="002C45AA">
              <w:rPr>
                <w:noProof/>
                <w:webHidden/>
              </w:rPr>
              <w:fldChar w:fldCharType="end"/>
            </w:r>
          </w:hyperlink>
        </w:p>
        <w:p w14:paraId="10EA572F" w14:textId="445D15D9" w:rsidR="002C45AA" w:rsidRDefault="00CC31DA">
          <w:pPr>
            <w:pStyle w:val="Innehll2"/>
            <w:tabs>
              <w:tab w:val="left" w:pos="960"/>
              <w:tab w:val="right" w:leader="dot" w:pos="9010"/>
            </w:tabs>
            <w:rPr>
              <w:b w:val="0"/>
              <w:noProof/>
              <w:kern w:val="2"/>
              <w:sz w:val="24"/>
              <w:szCs w:val="24"/>
              <w:lang w:eastAsia="sv-SE"/>
              <w14:ligatures w14:val="standardContextual"/>
            </w:rPr>
          </w:pPr>
          <w:hyperlink w:anchor="_Toc164353520" w:history="1">
            <w:r w:rsidR="002C45AA" w:rsidRPr="0054788F">
              <w:rPr>
                <w:rStyle w:val="Hyperlnk"/>
                <w:noProof/>
              </w:rPr>
              <w:t>3.1.</w:t>
            </w:r>
            <w:r w:rsidR="002C45AA">
              <w:rPr>
                <w:b w:val="0"/>
                <w:noProof/>
                <w:kern w:val="2"/>
                <w:sz w:val="24"/>
                <w:szCs w:val="24"/>
                <w:lang w:eastAsia="sv-SE"/>
                <w14:ligatures w14:val="standardContextual"/>
              </w:rPr>
              <w:tab/>
            </w:r>
            <w:r w:rsidR="002C45AA" w:rsidRPr="0054788F">
              <w:rPr>
                <w:rStyle w:val="Hyperlnk"/>
                <w:noProof/>
              </w:rPr>
              <w:t>Fallstudie: ögonsjukvården</w:t>
            </w:r>
            <w:r w:rsidR="002C45AA">
              <w:rPr>
                <w:noProof/>
                <w:webHidden/>
              </w:rPr>
              <w:tab/>
            </w:r>
            <w:r w:rsidR="002C45AA">
              <w:rPr>
                <w:noProof/>
                <w:webHidden/>
              </w:rPr>
              <w:fldChar w:fldCharType="begin"/>
            </w:r>
            <w:r w:rsidR="002C45AA">
              <w:rPr>
                <w:noProof/>
                <w:webHidden/>
              </w:rPr>
              <w:instrText xml:space="preserve"> PAGEREF _Toc164353520 \h </w:instrText>
            </w:r>
            <w:r w:rsidR="002C45AA">
              <w:rPr>
                <w:noProof/>
                <w:webHidden/>
              </w:rPr>
            </w:r>
            <w:r w:rsidR="002C45AA">
              <w:rPr>
                <w:noProof/>
                <w:webHidden/>
              </w:rPr>
              <w:fldChar w:fldCharType="separate"/>
            </w:r>
            <w:r w:rsidR="002C45AA">
              <w:rPr>
                <w:noProof/>
                <w:webHidden/>
              </w:rPr>
              <w:t>9</w:t>
            </w:r>
            <w:r w:rsidR="002C45AA">
              <w:rPr>
                <w:noProof/>
                <w:webHidden/>
              </w:rPr>
              <w:fldChar w:fldCharType="end"/>
            </w:r>
          </w:hyperlink>
        </w:p>
        <w:p w14:paraId="091F5309" w14:textId="6315C361" w:rsidR="002C45AA" w:rsidRDefault="00CC31DA">
          <w:pPr>
            <w:pStyle w:val="Innehll3"/>
            <w:tabs>
              <w:tab w:val="left" w:pos="1440"/>
              <w:tab w:val="right" w:leader="dot" w:pos="9010"/>
            </w:tabs>
            <w:rPr>
              <w:rFonts w:asciiTheme="minorHAnsi" w:hAnsiTheme="minorHAnsi" w:cstheme="minorBidi"/>
              <w:noProof/>
              <w:kern w:val="2"/>
              <w:sz w:val="24"/>
              <w:szCs w:val="24"/>
              <w:lang w:val="sv-SE" w:eastAsia="sv-SE"/>
              <w14:ligatures w14:val="standardContextual"/>
            </w:rPr>
          </w:pPr>
          <w:hyperlink w:anchor="_Toc164353521" w:history="1">
            <w:r w:rsidR="002C45AA" w:rsidRPr="0054788F">
              <w:rPr>
                <w:rStyle w:val="Hyperlnk"/>
                <w:noProof/>
                <w:lang w:val="sv-SE"/>
              </w:rPr>
              <w:t>3.1.1.</w:t>
            </w:r>
            <w:r w:rsidR="002C45AA">
              <w:rPr>
                <w:rFonts w:asciiTheme="minorHAnsi" w:hAnsiTheme="minorHAnsi" w:cstheme="minorBidi"/>
                <w:noProof/>
                <w:kern w:val="2"/>
                <w:sz w:val="24"/>
                <w:szCs w:val="24"/>
                <w:lang w:val="sv-SE" w:eastAsia="sv-SE"/>
                <w14:ligatures w14:val="standardContextual"/>
              </w:rPr>
              <w:tab/>
            </w:r>
            <w:r w:rsidR="002C45AA" w:rsidRPr="0054788F">
              <w:rPr>
                <w:rStyle w:val="Hyperlnk"/>
                <w:noProof/>
                <w:lang w:val="sv-SE"/>
              </w:rPr>
              <w:t>Andra faktorer kan också påverka jämförelserna</w:t>
            </w:r>
            <w:r w:rsidR="002C45AA">
              <w:rPr>
                <w:noProof/>
                <w:webHidden/>
              </w:rPr>
              <w:tab/>
            </w:r>
            <w:r w:rsidR="002C45AA">
              <w:rPr>
                <w:noProof/>
                <w:webHidden/>
              </w:rPr>
              <w:fldChar w:fldCharType="begin"/>
            </w:r>
            <w:r w:rsidR="002C45AA">
              <w:rPr>
                <w:noProof/>
                <w:webHidden/>
              </w:rPr>
              <w:instrText xml:space="preserve"> PAGEREF _Toc164353521 \h </w:instrText>
            </w:r>
            <w:r w:rsidR="002C45AA">
              <w:rPr>
                <w:noProof/>
                <w:webHidden/>
              </w:rPr>
            </w:r>
            <w:r w:rsidR="002C45AA">
              <w:rPr>
                <w:noProof/>
                <w:webHidden/>
              </w:rPr>
              <w:fldChar w:fldCharType="separate"/>
            </w:r>
            <w:r w:rsidR="002C45AA">
              <w:rPr>
                <w:noProof/>
                <w:webHidden/>
              </w:rPr>
              <w:t>10</w:t>
            </w:r>
            <w:r w:rsidR="002C45AA">
              <w:rPr>
                <w:noProof/>
                <w:webHidden/>
              </w:rPr>
              <w:fldChar w:fldCharType="end"/>
            </w:r>
          </w:hyperlink>
        </w:p>
        <w:p w14:paraId="11C13326" w14:textId="4AA373CF" w:rsidR="002C45AA" w:rsidRDefault="00CC31DA">
          <w:pPr>
            <w:pStyle w:val="Innehll3"/>
            <w:tabs>
              <w:tab w:val="left" w:pos="1440"/>
              <w:tab w:val="right" w:leader="dot" w:pos="9010"/>
            </w:tabs>
            <w:rPr>
              <w:rFonts w:asciiTheme="minorHAnsi" w:hAnsiTheme="minorHAnsi" w:cstheme="minorBidi"/>
              <w:noProof/>
              <w:kern w:val="2"/>
              <w:sz w:val="24"/>
              <w:szCs w:val="24"/>
              <w:lang w:val="sv-SE" w:eastAsia="sv-SE"/>
              <w14:ligatures w14:val="standardContextual"/>
            </w:rPr>
          </w:pPr>
          <w:hyperlink w:anchor="_Toc164353522" w:history="1">
            <w:r w:rsidR="002C45AA" w:rsidRPr="0054788F">
              <w:rPr>
                <w:rStyle w:val="Hyperlnk"/>
                <w:noProof/>
                <w:lang w:val="sv-SE"/>
              </w:rPr>
              <w:t>3.1.2.</w:t>
            </w:r>
            <w:r w:rsidR="002C45AA">
              <w:rPr>
                <w:rFonts w:asciiTheme="minorHAnsi" w:hAnsiTheme="minorHAnsi" w:cstheme="minorBidi"/>
                <w:noProof/>
                <w:kern w:val="2"/>
                <w:sz w:val="24"/>
                <w:szCs w:val="24"/>
                <w:lang w:val="sv-SE" w:eastAsia="sv-SE"/>
                <w14:ligatures w14:val="standardContextual"/>
              </w:rPr>
              <w:tab/>
            </w:r>
            <w:r w:rsidR="002C45AA" w:rsidRPr="0054788F">
              <w:rPr>
                <w:rStyle w:val="Hyperlnk"/>
                <w:noProof/>
                <w:lang w:val="sv-SE"/>
              </w:rPr>
              <w:t>Empirisk analys</w:t>
            </w:r>
            <w:r w:rsidR="002C45AA">
              <w:rPr>
                <w:noProof/>
                <w:webHidden/>
              </w:rPr>
              <w:tab/>
            </w:r>
            <w:r w:rsidR="002C45AA">
              <w:rPr>
                <w:noProof/>
                <w:webHidden/>
              </w:rPr>
              <w:fldChar w:fldCharType="begin"/>
            </w:r>
            <w:r w:rsidR="002C45AA">
              <w:rPr>
                <w:noProof/>
                <w:webHidden/>
              </w:rPr>
              <w:instrText xml:space="preserve"> PAGEREF _Toc164353522 \h </w:instrText>
            </w:r>
            <w:r w:rsidR="002C45AA">
              <w:rPr>
                <w:noProof/>
                <w:webHidden/>
              </w:rPr>
            </w:r>
            <w:r w:rsidR="002C45AA">
              <w:rPr>
                <w:noProof/>
                <w:webHidden/>
              </w:rPr>
              <w:fldChar w:fldCharType="separate"/>
            </w:r>
            <w:r w:rsidR="002C45AA">
              <w:rPr>
                <w:noProof/>
                <w:webHidden/>
              </w:rPr>
              <w:t>11</w:t>
            </w:r>
            <w:r w:rsidR="002C45AA">
              <w:rPr>
                <w:noProof/>
                <w:webHidden/>
              </w:rPr>
              <w:fldChar w:fldCharType="end"/>
            </w:r>
          </w:hyperlink>
        </w:p>
        <w:p w14:paraId="3BD3F918" w14:textId="17A885D9" w:rsidR="002C45AA" w:rsidRDefault="00CC31DA">
          <w:pPr>
            <w:pStyle w:val="Innehll3"/>
            <w:tabs>
              <w:tab w:val="left" w:pos="1440"/>
              <w:tab w:val="right" w:leader="dot" w:pos="9010"/>
            </w:tabs>
            <w:rPr>
              <w:rFonts w:asciiTheme="minorHAnsi" w:hAnsiTheme="minorHAnsi" w:cstheme="minorBidi"/>
              <w:noProof/>
              <w:kern w:val="2"/>
              <w:sz w:val="24"/>
              <w:szCs w:val="24"/>
              <w:lang w:val="sv-SE" w:eastAsia="sv-SE"/>
              <w14:ligatures w14:val="standardContextual"/>
            </w:rPr>
          </w:pPr>
          <w:hyperlink w:anchor="_Toc164353523" w:history="1">
            <w:r w:rsidR="002C45AA" w:rsidRPr="0054788F">
              <w:rPr>
                <w:rStyle w:val="Hyperlnk"/>
                <w:noProof/>
                <w:lang w:val="sv-SE"/>
              </w:rPr>
              <w:t>3.1.3.</w:t>
            </w:r>
            <w:r w:rsidR="002C45AA">
              <w:rPr>
                <w:rFonts w:asciiTheme="minorHAnsi" w:hAnsiTheme="minorHAnsi" w:cstheme="minorBidi"/>
                <w:noProof/>
                <w:kern w:val="2"/>
                <w:sz w:val="24"/>
                <w:szCs w:val="24"/>
                <w:lang w:val="sv-SE" w:eastAsia="sv-SE"/>
                <w14:ligatures w14:val="standardContextual"/>
              </w:rPr>
              <w:tab/>
            </w:r>
            <w:r w:rsidR="002C45AA" w:rsidRPr="0054788F">
              <w:rPr>
                <w:rStyle w:val="Hyperlnk"/>
                <w:noProof/>
                <w:lang w:val="sv-SE"/>
              </w:rPr>
              <w:t>Hur påverkas vårdköerna?</w:t>
            </w:r>
            <w:r w:rsidR="002C45AA">
              <w:rPr>
                <w:noProof/>
                <w:webHidden/>
              </w:rPr>
              <w:tab/>
            </w:r>
            <w:r w:rsidR="002C45AA">
              <w:rPr>
                <w:noProof/>
                <w:webHidden/>
              </w:rPr>
              <w:fldChar w:fldCharType="begin"/>
            </w:r>
            <w:r w:rsidR="002C45AA">
              <w:rPr>
                <w:noProof/>
                <w:webHidden/>
              </w:rPr>
              <w:instrText xml:space="preserve"> PAGEREF _Toc164353523 \h </w:instrText>
            </w:r>
            <w:r w:rsidR="002C45AA">
              <w:rPr>
                <w:noProof/>
                <w:webHidden/>
              </w:rPr>
            </w:r>
            <w:r w:rsidR="002C45AA">
              <w:rPr>
                <w:noProof/>
                <w:webHidden/>
              </w:rPr>
              <w:fldChar w:fldCharType="separate"/>
            </w:r>
            <w:r w:rsidR="002C45AA">
              <w:rPr>
                <w:noProof/>
                <w:webHidden/>
              </w:rPr>
              <w:t>15</w:t>
            </w:r>
            <w:r w:rsidR="002C45AA">
              <w:rPr>
                <w:noProof/>
                <w:webHidden/>
              </w:rPr>
              <w:fldChar w:fldCharType="end"/>
            </w:r>
          </w:hyperlink>
        </w:p>
        <w:p w14:paraId="4E07E1B6" w14:textId="28EAEEEB" w:rsidR="002C45AA" w:rsidRDefault="00CC31DA">
          <w:pPr>
            <w:pStyle w:val="Innehll2"/>
            <w:tabs>
              <w:tab w:val="left" w:pos="960"/>
              <w:tab w:val="right" w:leader="dot" w:pos="9010"/>
            </w:tabs>
            <w:rPr>
              <w:b w:val="0"/>
              <w:noProof/>
              <w:kern w:val="2"/>
              <w:sz w:val="24"/>
              <w:szCs w:val="24"/>
              <w:lang w:eastAsia="sv-SE"/>
              <w14:ligatures w14:val="standardContextual"/>
            </w:rPr>
          </w:pPr>
          <w:hyperlink w:anchor="_Toc164353524" w:history="1">
            <w:r w:rsidR="002C45AA" w:rsidRPr="0054788F">
              <w:rPr>
                <w:rStyle w:val="Hyperlnk"/>
                <w:noProof/>
              </w:rPr>
              <w:t>3.2.</w:t>
            </w:r>
            <w:r w:rsidR="002C45AA">
              <w:rPr>
                <w:b w:val="0"/>
                <w:noProof/>
                <w:kern w:val="2"/>
                <w:sz w:val="24"/>
                <w:szCs w:val="24"/>
                <w:lang w:eastAsia="sv-SE"/>
                <w14:ligatures w14:val="standardContextual"/>
              </w:rPr>
              <w:tab/>
            </w:r>
            <w:r w:rsidR="002C45AA" w:rsidRPr="0054788F">
              <w:rPr>
                <w:rStyle w:val="Hyperlnk"/>
                <w:noProof/>
              </w:rPr>
              <w:t>Diskussion</w:t>
            </w:r>
            <w:r w:rsidR="002C45AA">
              <w:rPr>
                <w:noProof/>
                <w:webHidden/>
              </w:rPr>
              <w:tab/>
            </w:r>
            <w:r w:rsidR="002C45AA">
              <w:rPr>
                <w:noProof/>
                <w:webHidden/>
              </w:rPr>
              <w:fldChar w:fldCharType="begin"/>
            </w:r>
            <w:r w:rsidR="002C45AA">
              <w:rPr>
                <w:noProof/>
                <w:webHidden/>
              </w:rPr>
              <w:instrText xml:space="preserve"> PAGEREF _Toc164353524 \h </w:instrText>
            </w:r>
            <w:r w:rsidR="002C45AA">
              <w:rPr>
                <w:noProof/>
                <w:webHidden/>
              </w:rPr>
            </w:r>
            <w:r w:rsidR="002C45AA">
              <w:rPr>
                <w:noProof/>
                <w:webHidden/>
              </w:rPr>
              <w:fldChar w:fldCharType="separate"/>
            </w:r>
            <w:r w:rsidR="002C45AA">
              <w:rPr>
                <w:noProof/>
                <w:webHidden/>
              </w:rPr>
              <w:t>18</w:t>
            </w:r>
            <w:r w:rsidR="002C45AA">
              <w:rPr>
                <w:noProof/>
                <w:webHidden/>
              </w:rPr>
              <w:fldChar w:fldCharType="end"/>
            </w:r>
          </w:hyperlink>
        </w:p>
        <w:p w14:paraId="1F6AF4B6" w14:textId="56D1B749" w:rsidR="002C45AA" w:rsidRDefault="00CC31DA">
          <w:pPr>
            <w:pStyle w:val="Innehll1"/>
            <w:rPr>
              <w:b w:val="0"/>
              <w:noProof/>
              <w:kern w:val="2"/>
              <w:lang w:eastAsia="sv-SE"/>
              <w14:ligatures w14:val="standardContextual"/>
            </w:rPr>
          </w:pPr>
          <w:hyperlink w:anchor="_Toc164353525" w:history="1">
            <w:r w:rsidR="002C45AA" w:rsidRPr="0054788F">
              <w:rPr>
                <w:rStyle w:val="Hyperlnk"/>
                <w:noProof/>
              </w:rPr>
              <w:t>4.</w:t>
            </w:r>
            <w:r w:rsidR="002C45AA">
              <w:rPr>
                <w:b w:val="0"/>
                <w:noProof/>
                <w:kern w:val="2"/>
                <w:lang w:eastAsia="sv-SE"/>
                <w14:ligatures w14:val="standardContextual"/>
              </w:rPr>
              <w:tab/>
            </w:r>
            <w:r w:rsidR="002C45AA" w:rsidRPr="0054788F">
              <w:rPr>
                <w:rStyle w:val="Hyperlnk"/>
                <w:noProof/>
              </w:rPr>
              <w:t>Finns det skäl att tro att målen uppnås med den nya inriktningen?</w:t>
            </w:r>
            <w:r w:rsidR="002C45AA">
              <w:rPr>
                <w:noProof/>
                <w:webHidden/>
              </w:rPr>
              <w:tab/>
            </w:r>
            <w:r w:rsidR="002C45AA">
              <w:rPr>
                <w:noProof/>
                <w:webHidden/>
              </w:rPr>
              <w:fldChar w:fldCharType="begin"/>
            </w:r>
            <w:r w:rsidR="002C45AA">
              <w:rPr>
                <w:noProof/>
                <w:webHidden/>
              </w:rPr>
              <w:instrText xml:space="preserve"> PAGEREF _Toc164353525 \h </w:instrText>
            </w:r>
            <w:r w:rsidR="002C45AA">
              <w:rPr>
                <w:noProof/>
                <w:webHidden/>
              </w:rPr>
            </w:r>
            <w:r w:rsidR="002C45AA">
              <w:rPr>
                <w:noProof/>
                <w:webHidden/>
              </w:rPr>
              <w:fldChar w:fldCharType="separate"/>
            </w:r>
            <w:r w:rsidR="002C45AA">
              <w:rPr>
                <w:noProof/>
                <w:webHidden/>
              </w:rPr>
              <w:t>20</w:t>
            </w:r>
            <w:r w:rsidR="002C45AA">
              <w:rPr>
                <w:noProof/>
                <w:webHidden/>
              </w:rPr>
              <w:fldChar w:fldCharType="end"/>
            </w:r>
          </w:hyperlink>
        </w:p>
        <w:p w14:paraId="653AABAD" w14:textId="28C0683B" w:rsidR="002C45AA" w:rsidRDefault="00CC31DA">
          <w:pPr>
            <w:pStyle w:val="Innehll1"/>
            <w:rPr>
              <w:b w:val="0"/>
              <w:noProof/>
              <w:kern w:val="2"/>
              <w:lang w:eastAsia="sv-SE"/>
              <w14:ligatures w14:val="standardContextual"/>
            </w:rPr>
          </w:pPr>
          <w:hyperlink w:anchor="_Toc164353526" w:history="1">
            <w:r w:rsidR="002C45AA" w:rsidRPr="0054788F">
              <w:rPr>
                <w:rStyle w:val="Hyperlnk"/>
                <w:rFonts w:ascii="Cambria" w:eastAsia="MS Gothic" w:hAnsi="Cambria"/>
                <w:bCs/>
                <w:noProof/>
              </w:rPr>
              <w:t>4.1.</w:t>
            </w:r>
            <w:r w:rsidR="002C45AA">
              <w:rPr>
                <w:b w:val="0"/>
                <w:noProof/>
                <w:kern w:val="2"/>
                <w:lang w:eastAsia="sv-SE"/>
                <w14:ligatures w14:val="standardContextual"/>
              </w:rPr>
              <w:tab/>
            </w:r>
            <w:r w:rsidR="002C45AA" w:rsidRPr="0054788F">
              <w:rPr>
                <w:rStyle w:val="Hyperlnk"/>
                <w:rFonts w:ascii="Cambria" w:eastAsia="MS Gothic" w:hAnsi="Cambria"/>
                <w:bCs/>
                <w:noProof/>
              </w:rPr>
              <w:t>Teoretiska utgångspunkter</w:t>
            </w:r>
            <w:r w:rsidR="002C45AA">
              <w:rPr>
                <w:noProof/>
                <w:webHidden/>
              </w:rPr>
              <w:tab/>
            </w:r>
            <w:r w:rsidR="002C45AA">
              <w:rPr>
                <w:noProof/>
                <w:webHidden/>
              </w:rPr>
              <w:fldChar w:fldCharType="begin"/>
            </w:r>
            <w:r w:rsidR="002C45AA">
              <w:rPr>
                <w:noProof/>
                <w:webHidden/>
              </w:rPr>
              <w:instrText xml:space="preserve"> PAGEREF _Toc164353526 \h </w:instrText>
            </w:r>
            <w:r w:rsidR="002C45AA">
              <w:rPr>
                <w:noProof/>
                <w:webHidden/>
              </w:rPr>
            </w:r>
            <w:r w:rsidR="002C45AA">
              <w:rPr>
                <w:noProof/>
                <w:webHidden/>
              </w:rPr>
              <w:fldChar w:fldCharType="separate"/>
            </w:r>
            <w:r w:rsidR="002C45AA">
              <w:rPr>
                <w:noProof/>
                <w:webHidden/>
              </w:rPr>
              <w:t>20</w:t>
            </w:r>
            <w:r w:rsidR="002C45AA">
              <w:rPr>
                <w:noProof/>
                <w:webHidden/>
              </w:rPr>
              <w:fldChar w:fldCharType="end"/>
            </w:r>
          </w:hyperlink>
        </w:p>
        <w:p w14:paraId="16D90995" w14:textId="618D6078" w:rsidR="002C45AA" w:rsidRDefault="00CC31DA">
          <w:pPr>
            <w:pStyle w:val="Innehll1"/>
            <w:rPr>
              <w:b w:val="0"/>
              <w:noProof/>
              <w:kern w:val="2"/>
              <w:lang w:eastAsia="sv-SE"/>
              <w14:ligatures w14:val="standardContextual"/>
            </w:rPr>
          </w:pPr>
          <w:hyperlink w:anchor="_Toc164353527" w:history="1">
            <w:r w:rsidR="002C45AA" w:rsidRPr="0054788F">
              <w:rPr>
                <w:rStyle w:val="Hyperlnk"/>
                <w:rFonts w:ascii="Cambria" w:eastAsia="MS Gothic" w:hAnsi="Cambria"/>
                <w:bCs/>
                <w:noProof/>
              </w:rPr>
              <w:t>4.2.</w:t>
            </w:r>
            <w:r w:rsidR="002C45AA">
              <w:rPr>
                <w:b w:val="0"/>
                <w:noProof/>
                <w:kern w:val="2"/>
                <w:lang w:eastAsia="sv-SE"/>
                <w14:ligatures w14:val="standardContextual"/>
              </w:rPr>
              <w:tab/>
            </w:r>
            <w:r w:rsidR="002C45AA" w:rsidRPr="0054788F">
              <w:rPr>
                <w:rStyle w:val="Hyperlnk"/>
                <w:rFonts w:ascii="Cambria" w:eastAsia="MS Gothic" w:hAnsi="Cambria"/>
                <w:bCs/>
                <w:noProof/>
              </w:rPr>
              <w:t>Internationella studier</w:t>
            </w:r>
            <w:r w:rsidR="002C45AA">
              <w:rPr>
                <w:noProof/>
                <w:webHidden/>
              </w:rPr>
              <w:tab/>
            </w:r>
            <w:r w:rsidR="002C45AA">
              <w:rPr>
                <w:noProof/>
                <w:webHidden/>
              </w:rPr>
              <w:fldChar w:fldCharType="begin"/>
            </w:r>
            <w:r w:rsidR="002C45AA">
              <w:rPr>
                <w:noProof/>
                <w:webHidden/>
              </w:rPr>
              <w:instrText xml:space="preserve"> PAGEREF _Toc164353527 \h </w:instrText>
            </w:r>
            <w:r w:rsidR="002C45AA">
              <w:rPr>
                <w:noProof/>
                <w:webHidden/>
              </w:rPr>
            </w:r>
            <w:r w:rsidR="002C45AA">
              <w:rPr>
                <w:noProof/>
                <w:webHidden/>
              </w:rPr>
              <w:fldChar w:fldCharType="separate"/>
            </w:r>
            <w:r w:rsidR="002C45AA">
              <w:rPr>
                <w:noProof/>
                <w:webHidden/>
              </w:rPr>
              <w:t>21</w:t>
            </w:r>
            <w:r w:rsidR="002C45AA">
              <w:rPr>
                <w:noProof/>
                <w:webHidden/>
              </w:rPr>
              <w:fldChar w:fldCharType="end"/>
            </w:r>
          </w:hyperlink>
        </w:p>
        <w:p w14:paraId="1F5144AA" w14:textId="59EA8A22" w:rsidR="002C45AA" w:rsidRDefault="00CC31DA">
          <w:pPr>
            <w:pStyle w:val="Innehll1"/>
            <w:rPr>
              <w:b w:val="0"/>
              <w:noProof/>
              <w:kern w:val="2"/>
              <w:lang w:eastAsia="sv-SE"/>
              <w14:ligatures w14:val="standardContextual"/>
            </w:rPr>
          </w:pPr>
          <w:hyperlink w:anchor="_Toc164353528" w:history="1">
            <w:r w:rsidR="002C45AA" w:rsidRPr="0054788F">
              <w:rPr>
                <w:rStyle w:val="Hyperlnk"/>
                <w:rFonts w:ascii="Cambria" w:eastAsia="MS Gothic" w:hAnsi="Cambria"/>
                <w:bCs/>
                <w:noProof/>
              </w:rPr>
              <w:t>4.3.</w:t>
            </w:r>
            <w:r w:rsidR="002C45AA">
              <w:rPr>
                <w:b w:val="0"/>
                <w:noProof/>
                <w:kern w:val="2"/>
                <w:lang w:eastAsia="sv-SE"/>
                <w14:ligatures w14:val="standardContextual"/>
              </w:rPr>
              <w:tab/>
            </w:r>
            <w:r w:rsidR="002C45AA" w:rsidRPr="0054788F">
              <w:rPr>
                <w:rStyle w:val="Hyperlnk"/>
                <w:rFonts w:ascii="Cambria" w:eastAsia="MS Gothic" w:hAnsi="Cambria"/>
                <w:bCs/>
                <w:noProof/>
              </w:rPr>
              <w:t>Svenska studier</w:t>
            </w:r>
            <w:r w:rsidR="002C45AA">
              <w:rPr>
                <w:noProof/>
                <w:webHidden/>
              </w:rPr>
              <w:tab/>
            </w:r>
            <w:r w:rsidR="002C45AA">
              <w:rPr>
                <w:noProof/>
                <w:webHidden/>
              </w:rPr>
              <w:fldChar w:fldCharType="begin"/>
            </w:r>
            <w:r w:rsidR="002C45AA">
              <w:rPr>
                <w:noProof/>
                <w:webHidden/>
              </w:rPr>
              <w:instrText xml:space="preserve"> PAGEREF _Toc164353528 \h </w:instrText>
            </w:r>
            <w:r w:rsidR="002C45AA">
              <w:rPr>
                <w:noProof/>
                <w:webHidden/>
              </w:rPr>
            </w:r>
            <w:r w:rsidR="002C45AA">
              <w:rPr>
                <w:noProof/>
                <w:webHidden/>
              </w:rPr>
              <w:fldChar w:fldCharType="separate"/>
            </w:r>
            <w:r w:rsidR="002C45AA">
              <w:rPr>
                <w:noProof/>
                <w:webHidden/>
              </w:rPr>
              <w:t>24</w:t>
            </w:r>
            <w:r w:rsidR="002C45AA">
              <w:rPr>
                <w:noProof/>
                <w:webHidden/>
              </w:rPr>
              <w:fldChar w:fldCharType="end"/>
            </w:r>
          </w:hyperlink>
        </w:p>
        <w:p w14:paraId="0BC3F5B1" w14:textId="5A7F2DDC" w:rsidR="002C45AA" w:rsidRDefault="00CC31DA">
          <w:pPr>
            <w:pStyle w:val="Innehll1"/>
            <w:rPr>
              <w:b w:val="0"/>
              <w:noProof/>
              <w:kern w:val="2"/>
              <w:lang w:eastAsia="sv-SE"/>
              <w14:ligatures w14:val="standardContextual"/>
            </w:rPr>
          </w:pPr>
          <w:hyperlink w:anchor="_Toc164353529" w:history="1">
            <w:r w:rsidR="002C45AA" w:rsidRPr="0054788F">
              <w:rPr>
                <w:rStyle w:val="Hyperlnk"/>
                <w:rFonts w:ascii="Cambria" w:hAnsi="Cambria"/>
                <w:noProof/>
              </w:rPr>
              <w:t>5.</w:t>
            </w:r>
            <w:r w:rsidR="002C45AA">
              <w:rPr>
                <w:b w:val="0"/>
                <w:noProof/>
                <w:kern w:val="2"/>
                <w:lang w:eastAsia="sv-SE"/>
                <w14:ligatures w14:val="standardContextual"/>
              </w:rPr>
              <w:tab/>
            </w:r>
            <w:r w:rsidR="002C45AA" w:rsidRPr="0054788F">
              <w:rPr>
                <w:rStyle w:val="Hyperlnk"/>
                <w:rFonts w:ascii="Cambria" w:hAnsi="Cambria"/>
                <w:noProof/>
              </w:rPr>
              <w:t>Rekommendationer och slutsatser</w:t>
            </w:r>
            <w:r w:rsidR="002C45AA">
              <w:rPr>
                <w:noProof/>
                <w:webHidden/>
              </w:rPr>
              <w:tab/>
            </w:r>
            <w:r w:rsidR="002C45AA">
              <w:rPr>
                <w:noProof/>
                <w:webHidden/>
              </w:rPr>
              <w:fldChar w:fldCharType="begin"/>
            </w:r>
            <w:r w:rsidR="002C45AA">
              <w:rPr>
                <w:noProof/>
                <w:webHidden/>
              </w:rPr>
              <w:instrText xml:space="preserve"> PAGEREF _Toc164353529 \h </w:instrText>
            </w:r>
            <w:r w:rsidR="002C45AA">
              <w:rPr>
                <w:noProof/>
                <w:webHidden/>
              </w:rPr>
            </w:r>
            <w:r w:rsidR="002C45AA">
              <w:rPr>
                <w:noProof/>
                <w:webHidden/>
              </w:rPr>
              <w:fldChar w:fldCharType="separate"/>
            </w:r>
            <w:r w:rsidR="002C45AA">
              <w:rPr>
                <w:noProof/>
                <w:webHidden/>
              </w:rPr>
              <w:t>26</w:t>
            </w:r>
            <w:r w:rsidR="002C45AA">
              <w:rPr>
                <w:noProof/>
                <w:webHidden/>
              </w:rPr>
              <w:fldChar w:fldCharType="end"/>
            </w:r>
          </w:hyperlink>
        </w:p>
        <w:p w14:paraId="77B54929" w14:textId="3FC6A16F" w:rsidR="002C45AA" w:rsidRDefault="00CC31DA">
          <w:pPr>
            <w:pStyle w:val="Innehll1"/>
            <w:rPr>
              <w:b w:val="0"/>
              <w:noProof/>
              <w:kern w:val="2"/>
              <w:lang w:eastAsia="sv-SE"/>
              <w14:ligatures w14:val="standardContextual"/>
            </w:rPr>
          </w:pPr>
          <w:hyperlink w:anchor="_Toc164353530" w:history="1">
            <w:r w:rsidR="002C45AA" w:rsidRPr="0054788F">
              <w:rPr>
                <w:rStyle w:val="Hyperlnk"/>
                <w:rFonts w:ascii="Cambria" w:hAnsi="Cambria"/>
                <w:noProof/>
              </w:rPr>
              <w:t>Referenser</w:t>
            </w:r>
            <w:r w:rsidR="002C45AA">
              <w:rPr>
                <w:noProof/>
                <w:webHidden/>
              </w:rPr>
              <w:tab/>
            </w:r>
            <w:r w:rsidR="002C45AA">
              <w:rPr>
                <w:noProof/>
                <w:webHidden/>
              </w:rPr>
              <w:fldChar w:fldCharType="begin"/>
            </w:r>
            <w:r w:rsidR="002C45AA">
              <w:rPr>
                <w:noProof/>
                <w:webHidden/>
              </w:rPr>
              <w:instrText xml:space="preserve"> PAGEREF _Toc164353530 \h </w:instrText>
            </w:r>
            <w:r w:rsidR="002C45AA">
              <w:rPr>
                <w:noProof/>
                <w:webHidden/>
              </w:rPr>
            </w:r>
            <w:r w:rsidR="002C45AA">
              <w:rPr>
                <w:noProof/>
                <w:webHidden/>
              </w:rPr>
              <w:fldChar w:fldCharType="separate"/>
            </w:r>
            <w:r w:rsidR="002C45AA">
              <w:rPr>
                <w:noProof/>
                <w:webHidden/>
              </w:rPr>
              <w:t>27</w:t>
            </w:r>
            <w:r w:rsidR="002C45AA">
              <w:rPr>
                <w:noProof/>
                <w:webHidden/>
              </w:rPr>
              <w:fldChar w:fldCharType="end"/>
            </w:r>
          </w:hyperlink>
        </w:p>
        <w:p w14:paraId="5A86C135" w14:textId="00C49D23" w:rsidR="004746A2" w:rsidRPr="005A394A" w:rsidRDefault="004746A2">
          <w:pPr>
            <w:rPr>
              <w:rFonts w:ascii="Cambria" w:hAnsi="Cambria"/>
              <w:lang w:val="sv-SE"/>
            </w:rPr>
          </w:pPr>
          <w:r w:rsidRPr="005A394A">
            <w:rPr>
              <w:rFonts w:ascii="Cambria" w:hAnsi="Cambria"/>
              <w:b/>
              <w:bCs/>
              <w:noProof/>
              <w:lang w:val="sv-SE"/>
            </w:rPr>
            <w:fldChar w:fldCharType="end"/>
          </w:r>
        </w:p>
      </w:sdtContent>
    </w:sdt>
    <w:p w14:paraId="4FEEBD28" w14:textId="5FE7E2FD" w:rsidR="004746A2" w:rsidRPr="005A394A" w:rsidRDefault="004746A2" w:rsidP="004746A2">
      <w:pPr>
        <w:rPr>
          <w:rFonts w:ascii="Cambria" w:eastAsiaTheme="majorEastAsia" w:hAnsi="Cambria" w:cstheme="majorBidi"/>
          <w:b/>
          <w:bCs/>
          <w:color w:val="345A8A" w:themeColor="accent1" w:themeShade="B5"/>
          <w:lang w:val="sv-SE"/>
        </w:rPr>
      </w:pPr>
      <w:r w:rsidRPr="005A394A">
        <w:rPr>
          <w:rFonts w:ascii="Cambria" w:hAnsi="Cambria"/>
          <w:lang w:val="sv-SE"/>
        </w:rPr>
        <w:br w:type="page"/>
      </w:r>
    </w:p>
    <w:p w14:paraId="686F450F" w14:textId="518C1C33" w:rsidR="004746A2" w:rsidRPr="005A394A" w:rsidRDefault="004746A2" w:rsidP="002257BA">
      <w:pPr>
        <w:pStyle w:val="Rubrik1"/>
        <w:spacing w:before="0"/>
        <w:jc w:val="both"/>
      </w:pPr>
      <w:bookmarkStart w:id="0" w:name="_Toc164353516"/>
      <w:r w:rsidRPr="005A394A">
        <w:rPr>
          <w:rFonts w:ascii="Cambria" w:hAnsi="Cambria"/>
          <w:sz w:val="24"/>
          <w:szCs w:val="24"/>
        </w:rPr>
        <w:lastRenderedPageBreak/>
        <w:t>Sammanfattning</w:t>
      </w:r>
      <w:bookmarkEnd w:id="0"/>
    </w:p>
    <w:p w14:paraId="1413B8BC" w14:textId="77777777" w:rsidR="00A13812" w:rsidRPr="00570F0A" w:rsidRDefault="00A13812" w:rsidP="00A13812">
      <w:pPr>
        <w:jc w:val="both"/>
        <w:rPr>
          <w:rFonts w:ascii="Cambria" w:hAnsi="Cambria"/>
          <w:lang w:val="sv-SE"/>
        </w:rPr>
      </w:pPr>
    </w:p>
    <w:p w14:paraId="2184B0EF" w14:textId="735CD45B" w:rsidR="00097BA4" w:rsidRDefault="005E09EA" w:rsidP="00291C10">
      <w:pPr>
        <w:jc w:val="both"/>
        <w:rPr>
          <w:rFonts w:ascii="Cambria" w:hAnsi="Cambria"/>
          <w:lang w:val="sv-SE"/>
        </w:rPr>
      </w:pPr>
      <w:r w:rsidRPr="005E09EA">
        <w:rPr>
          <w:rFonts w:ascii="Cambria" w:hAnsi="Cambria"/>
          <w:lang w:val="sv-SE"/>
        </w:rPr>
        <w:t>Sedan valet 2022 har den rödgröna koalition som styr Region Stockholm satt i gång långtgående förändringar av sjukvården. Vårdval och privat vård ska ersättas av upphandlingar och vård i regionens regi.</w:t>
      </w:r>
    </w:p>
    <w:p w14:paraId="7F41F359" w14:textId="77777777" w:rsidR="005E09EA" w:rsidRDefault="005E09EA" w:rsidP="00291C10">
      <w:pPr>
        <w:jc w:val="both"/>
        <w:rPr>
          <w:rFonts w:ascii="Cambria" w:hAnsi="Cambria"/>
          <w:lang w:val="sv-SE"/>
        </w:rPr>
      </w:pPr>
    </w:p>
    <w:p w14:paraId="32D4E8DB" w14:textId="6E962BC7" w:rsidR="005E09EA" w:rsidRDefault="00097BA4" w:rsidP="005E09EA">
      <w:pPr>
        <w:jc w:val="both"/>
        <w:rPr>
          <w:rFonts w:ascii="Cambria" w:hAnsi="Cambria"/>
          <w:lang w:val="sv-SE"/>
        </w:rPr>
      </w:pPr>
      <w:r>
        <w:rPr>
          <w:rFonts w:ascii="Cambria" w:hAnsi="Cambria"/>
          <w:lang w:val="sv-SE"/>
        </w:rPr>
        <w:t xml:space="preserve">Vi visar att de </w:t>
      </w:r>
      <w:r w:rsidR="00B656D6">
        <w:rPr>
          <w:rFonts w:ascii="Cambria" w:hAnsi="Cambria"/>
          <w:lang w:val="sv-SE"/>
        </w:rPr>
        <w:t>besluts</w:t>
      </w:r>
      <w:r>
        <w:rPr>
          <w:rFonts w:ascii="Cambria" w:hAnsi="Cambria"/>
          <w:lang w:val="sv-SE"/>
        </w:rPr>
        <w:t>underlag som finns innehåller</w:t>
      </w:r>
      <w:r w:rsidR="0018550D">
        <w:rPr>
          <w:rFonts w:ascii="Cambria" w:hAnsi="Cambria"/>
          <w:lang w:val="sv-SE"/>
        </w:rPr>
        <w:t xml:space="preserve"> alldeles för enkla</w:t>
      </w:r>
      <w:r>
        <w:rPr>
          <w:rFonts w:ascii="Cambria" w:hAnsi="Cambria"/>
          <w:lang w:val="sv-SE"/>
        </w:rPr>
        <w:t xml:space="preserve"> analyser som inte håller för granskning</w:t>
      </w:r>
      <w:r w:rsidR="005E09EA">
        <w:rPr>
          <w:rFonts w:ascii="Cambria" w:hAnsi="Cambria"/>
          <w:lang w:val="sv-SE"/>
        </w:rPr>
        <w:t xml:space="preserve">. </w:t>
      </w:r>
      <w:r w:rsidR="005E09EA" w:rsidRPr="005E09EA">
        <w:rPr>
          <w:rFonts w:ascii="Cambria" w:hAnsi="Cambria"/>
          <w:lang w:val="sv-SE"/>
        </w:rPr>
        <w:t>Vi har begärt ut relevanta handlingar från regionen för att se vilka konsekvensanalyser som ligger bakom den nya politiska inriktningen. Till vår förvåning visade det sig att beslutsunderlag i flera fall saknas helt.</w:t>
      </w:r>
    </w:p>
    <w:p w14:paraId="3D520601" w14:textId="77777777" w:rsidR="005E09EA" w:rsidRPr="005E09EA" w:rsidRDefault="005E09EA" w:rsidP="005E09EA">
      <w:pPr>
        <w:jc w:val="both"/>
        <w:rPr>
          <w:rFonts w:ascii="Cambria" w:hAnsi="Cambria"/>
          <w:lang w:val="sv-SE"/>
        </w:rPr>
      </w:pPr>
    </w:p>
    <w:p w14:paraId="02C731E9" w14:textId="42A3C34B" w:rsidR="00097BA4" w:rsidRDefault="005E09EA" w:rsidP="005E09EA">
      <w:pPr>
        <w:jc w:val="both"/>
        <w:rPr>
          <w:rFonts w:ascii="Cambria" w:hAnsi="Cambria"/>
          <w:lang w:val="sv-SE"/>
        </w:rPr>
      </w:pPr>
      <w:r w:rsidRPr="005E09EA">
        <w:rPr>
          <w:rFonts w:ascii="Cambria" w:hAnsi="Cambria"/>
          <w:lang w:val="sv-SE"/>
        </w:rPr>
        <w:t>Regionens omställningsplan hänvisar till exempel till en genomlysning av samtliga vårdval och ”fördjupad utredning” för de områden där utmaningarna är störst. Men inga genomlysningar eller utredningar tycks existera. Efter upprepade förfrågningar har vi fått bekräftat att inget sådant material finns att tillgå.</w:t>
      </w:r>
    </w:p>
    <w:p w14:paraId="5CCAF948" w14:textId="77777777" w:rsidR="00FB0D8D" w:rsidRDefault="00FB0D8D" w:rsidP="00291C10">
      <w:pPr>
        <w:jc w:val="both"/>
        <w:rPr>
          <w:rFonts w:ascii="Cambria" w:hAnsi="Cambria"/>
          <w:lang w:val="sv-SE"/>
        </w:rPr>
      </w:pPr>
    </w:p>
    <w:p w14:paraId="0AC18137" w14:textId="752D3BFA" w:rsidR="00FD608B" w:rsidRDefault="00FB0D8D" w:rsidP="00291C10">
      <w:pPr>
        <w:jc w:val="both"/>
        <w:rPr>
          <w:rFonts w:ascii="Cambria" w:hAnsi="Cambria"/>
          <w:lang w:val="sv-SE"/>
        </w:rPr>
      </w:pPr>
      <w:r>
        <w:rPr>
          <w:rFonts w:ascii="Cambria" w:hAnsi="Cambria"/>
          <w:lang w:val="sv-SE"/>
        </w:rPr>
        <w:t xml:space="preserve">Vi använder ögonsjukvården – där vårdvalet kommer att ersättas av upphandling – som en fallstudie för att exemplifiera bristerna i regionens underlag. </w:t>
      </w:r>
      <w:r w:rsidR="005E09EA">
        <w:rPr>
          <w:rFonts w:ascii="Cambria" w:hAnsi="Cambria"/>
          <w:lang w:val="sv-SE"/>
        </w:rPr>
        <w:t>A</w:t>
      </w:r>
      <w:r>
        <w:rPr>
          <w:rFonts w:ascii="Cambria" w:hAnsi="Cambria"/>
          <w:lang w:val="sv-SE"/>
        </w:rPr>
        <w:t xml:space="preserve">nalyserna av ögonsjukvården är ytliga och ger inte stöd för att vårdvalet är kostnadsdrivande. </w:t>
      </w:r>
      <w:r w:rsidR="005E09EA" w:rsidRPr="005E09EA">
        <w:rPr>
          <w:rFonts w:ascii="Cambria" w:hAnsi="Cambria"/>
          <w:lang w:val="sv-SE"/>
        </w:rPr>
        <w:t>I själva verket kan hela den volymökning som tillskrivs vårdvalet förklaras av sjunkande produktion i andra delar av ögonsjukvården och av en förändrad befolkningsstruktur.</w:t>
      </w:r>
    </w:p>
    <w:p w14:paraId="69642F57" w14:textId="77777777" w:rsidR="005E09EA" w:rsidRDefault="005E09EA" w:rsidP="00291C10">
      <w:pPr>
        <w:jc w:val="both"/>
        <w:rPr>
          <w:rFonts w:ascii="Cambria" w:hAnsi="Cambria"/>
          <w:lang w:val="sv-SE"/>
        </w:rPr>
      </w:pPr>
    </w:p>
    <w:p w14:paraId="151FC7BB" w14:textId="1D082B35" w:rsidR="005E09EA" w:rsidRPr="005E09EA" w:rsidRDefault="005E09EA" w:rsidP="005E09EA">
      <w:pPr>
        <w:jc w:val="both"/>
        <w:rPr>
          <w:rFonts w:ascii="Cambria" w:hAnsi="Cambria"/>
          <w:lang w:val="sv-SE"/>
        </w:rPr>
      </w:pPr>
      <w:r w:rsidRPr="005E09EA">
        <w:rPr>
          <w:rFonts w:ascii="Cambria" w:hAnsi="Cambria"/>
          <w:lang w:val="sv-SE"/>
        </w:rPr>
        <w:t xml:space="preserve">Den </w:t>
      </w:r>
      <w:r w:rsidR="00CF32DF">
        <w:rPr>
          <w:rFonts w:ascii="Cambria" w:hAnsi="Cambria"/>
          <w:lang w:val="sv-SE"/>
        </w:rPr>
        <w:t>förändring</w:t>
      </w:r>
      <w:r w:rsidRPr="005E09EA">
        <w:rPr>
          <w:rFonts w:ascii="Cambria" w:hAnsi="Cambria"/>
          <w:lang w:val="sv-SE"/>
        </w:rPr>
        <w:t xml:space="preserve"> i befolknings- och åldersjusterade vårdvolymer som trots allt verkar ha med vårdvalet att göra är i stället koncentrerad till e</w:t>
      </w:r>
      <w:r w:rsidR="00CF32DF">
        <w:rPr>
          <w:rFonts w:ascii="Cambria" w:hAnsi="Cambria"/>
          <w:lang w:val="sv-SE"/>
        </w:rPr>
        <w:t xml:space="preserve">n ökning </w:t>
      </w:r>
      <w:r w:rsidRPr="005E09EA">
        <w:rPr>
          <w:rFonts w:ascii="Cambria" w:hAnsi="Cambria"/>
          <w:lang w:val="sv-SE"/>
        </w:rPr>
        <w:t>under åren 2012–2013. Detta tyder på att reformen – möjligtvis i samverkan med vårdgarantin – medförde att ett uppdämt behov av ögonsjukvård plötsligt kunde tillgodoses. Detta är i sin tur också en potentiell förklaring till varför Stockholm har lyckats bättre än resten av landet med att upprätthålla vårdgarantin inom ögonsjukvården sedan vårdvalet infördes.</w:t>
      </w:r>
    </w:p>
    <w:p w14:paraId="0E4C94AE" w14:textId="77777777" w:rsidR="005E09EA" w:rsidRDefault="005E09EA" w:rsidP="00291C10">
      <w:pPr>
        <w:jc w:val="both"/>
        <w:rPr>
          <w:rFonts w:ascii="Cambria" w:hAnsi="Cambria"/>
          <w:lang w:val="sv-SE"/>
        </w:rPr>
      </w:pPr>
    </w:p>
    <w:p w14:paraId="25E79038" w14:textId="4B4BAED4" w:rsidR="00FB0D8D" w:rsidRDefault="00FB0D8D" w:rsidP="00291C10">
      <w:pPr>
        <w:jc w:val="both"/>
        <w:rPr>
          <w:rFonts w:ascii="Cambria" w:hAnsi="Cambria"/>
          <w:lang w:val="sv-SE"/>
        </w:rPr>
      </w:pPr>
      <w:r>
        <w:rPr>
          <w:rFonts w:ascii="Cambria" w:hAnsi="Cambria"/>
          <w:lang w:val="sv-SE"/>
        </w:rPr>
        <w:t>Att Region Stockholm har kortare vårdköer och uppfyller vårdgarantin bättre än andra regioner – vilket har blivit allt tydligare sedan vårdvalet infördes – bör rimligen också beaktas.</w:t>
      </w:r>
      <w:r w:rsidR="00055649">
        <w:rPr>
          <w:rFonts w:ascii="Cambria" w:hAnsi="Cambria"/>
          <w:lang w:val="sv-SE"/>
        </w:rPr>
        <w:t xml:space="preserve"> Påståenden om icke-medicinskt motiverad vård</w:t>
      </w:r>
      <w:r w:rsidR="008735A0">
        <w:rPr>
          <w:rFonts w:ascii="Cambria" w:hAnsi="Cambria"/>
          <w:lang w:val="sv-SE"/>
        </w:rPr>
        <w:t xml:space="preserve"> framstår</w:t>
      </w:r>
      <w:r w:rsidR="00055649">
        <w:rPr>
          <w:rFonts w:ascii="Cambria" w:hAnsi="Cambria"/>
          <w:lang w:val="sv-SE"/>
        </w:rPr>
        <w:t xml:space="preserve"> därför som märkliga</w:t>
      </w:r>
      <w:r w:rsidR="00C13EB9">
        <w:rPr>
          <w:rFonts w:ascii="Cambria" w:hAnsi="Cambria"/>
          <w:lang w:val="sv-SE"/>
        </w:rPr>
        <w:t>.</w:t>
      </w:r>
      <w:r w:rsidR="00055649">
        <w:rPr>
          <w:rFonts w:ascii="Cambria" w:hAnsi="Cambria"/>
          <w:lang w:val="sv-SE"/>
        </w:rPr>
        <w:t xml:space="preserve"> </w:t>
      </w:r>
      <w:r w:rsidR="00C13EB9">
        <w:rPr>
          <w:rFonts w:ascii="Cambria" w:hAnsi="Cambria"/>
          <w:lang w:val="sv-SE"/>
        </w:rPr>
        <w:t>Om</w:t>
      </w:r>
      <w:r w:rsidR="00055649">
        <w:rPr>
          <w:rFonts w:ascii="Cambria" w:hAnsi="Cambria"/>
          <w:lang w:val="sv-SE"/>
        </w:rPr>
        <w:t xml:space="preserve"> något tyder utfallen på att det råder </w:t>
      </w:r>
      <w:r w:rsidR="00055649" w:rsidRPr="00055649">
        <w:rPr>
          <w:rFonts w:ascii="Cambria" w:hAnsi="Cambria"/>
          <w:lang w:val="sv-SE"/>
        </w:rPr>
        <w:t>underkonsumtion i andra regioner: patienter utanför Region Stockholm löper en större risk att bli utan medicinskt motivera</w:t>
      </w:r>
      <w:r w:rsidR="00DA1C5C">
        <w:rPr>
          <w:rFonts w:ascii="Cambria" w:hAnsi="Cambria"/>
          <w:lang w:val="sv-SE"/>
        </w:rPr>
        <w:t>d</w:t>
      </w:r>
      <w:r w:rsidR="00055649" w:rsidRPr="00055649">
        <w:rPr>
          <w:rFonts w:ascii="Cambria" w:hAnsi="Cambria"/>
          <w:lang w:val="sv-SE"/>
        </w:rPr>
        <w:t xml:space="preserve"> vård</w:t>
      </w:r>
      <w:r w:rsidR="00055649">
        <w:rPr>
          <w:rFonts w:ascii="Cambria" w:hAnsi="Cambria"/>
          <w:lang w:val="sv-SE"/>
        </w:rPr>
        <w:t>.</w:t>
      </w:r>
      <w:r w:rsidR="008735A0">
        <w:rPr>
          <w:rFonts w:ascii="Cambria" w:hAnsi="Cambria"/>
          <w:lang w:val="sv-SE"/>
        </w:rPr>
        <w:t xml:space="preserve"> </w:t>
      </w:r>
    </w:p>
    <w:p w14:paraId="0483CC82" w14:textId="77777777" w:rsidR="005E09EA" w:rsidRDefault="005E09EA" w:rsidP="00291C10">
      <w:pPr>
        <w:jc w:val="both"/>
        <w:rPr>
          <w:rFonts w:ascii="Cambria" w:hAnsi="Cambria"/>
          <w:lang w:val="sv-SE"/>
        </w:rPr>
      </w:pPr>
    </w:p>
    <w:p w14:paraId="49A6EE5B" w14:textId="7E4B9EE8" w:rsidR="005E09EA" w:rsidRDefault="005E09EA" w:rsidP="00291C10">
      <w:pPr>
        <w:jc w:val="both"/>
        <w:rPr>
          <w:rFonts w:ascii="Cambria" w:hAnsi="Cambria"/>
          <w:lang w:val="sv-SE"/>
        </w:rPr>
      </w:pPr>
      <w:r w:rsidRPr="005E09EA">
        <w:rPr>
          <w:rFonts w:ascii="Cambria" w:hAnsi="Cambria"/>
          <w:lang w:val="sv-SE"/>
        </w:rPr>
        <w:t>Planerade besparingar inom andra vårdområden framstår även de som ogrundade förhoppningar. Risken är i stället uppenbar att vårdköerna kommer att öka (och den lagstadgade vårdgarantin åsidosättas) i jakten på minskad vårdkonsumtion.</w:t>
      </w:r>
    </w:p>
    <w:p w14:paraId="3CE6D0F7" w14:textId="77777777" w:rsidR="00097BA4" w:rsidRDefault="00097BA4" w:rsidP="00291C10">
      <w:pPr>
        <w:jc w:val="both"/>
        <w:rPr>
          <w:rFonts w:ascii="Cambria" w:hAnsi="Cambria"/>
          <w:lang w:val="sv-SE"/>
        </w:rPr>
      </w:pPr>
    </w:p>
    <w:p w14:paraId="387D61E4" w14:textId="1D39C8CC" w:rsidR="00AF5CA2" w:rsidRDefault="003C197F" w:rsidP="00291C10">
      <w:pPr>
        <w:jc w:val="both"/>
        <w:rPr>
          <w:rFonts w:ascii="Cambria" w:hAnsi="Cambria"/>
          <w:lang w:val="sv-SE"/>
        </w:rPr>
      </w:pPr>
      <w:r>
        <w:rPr>
          <w:rFonts w:ascii="Cambria" w:hAnsi="Cambria"/>
          <w:lang w:val="sv-SE"/>
        </w:rPr>
        <w:t>Mer generellt får r</w:t>
      </w:r>
      <w:r w:rsidR="00097BA4">
        <w:rPr>
          <w:rFonts w:ascii="Cambria" w:hAnsi="Cambria"/>
          <w:lang w:val="sv-SE"/>
        </w:rPr>
        <w:t xml:space="preserve">egionens slutsatser inte heller stöd i </w:t>
      </w:r>
      <w:r w:rsidR="00FB0D8D">
        <w:rPr>
          <w:rFonts w:ascii="Cambria" w:hAnsi="Cambria"/>
          <w:lang w:val="sv-SE"/>
        </w:rPr>
        <w:t xml:space="preserve">existerande </w:t>
      </w:r>
      <w:r w:rsidR="00097BA4">
        <w:rPr>
          <w:rFonts w:ascii="Cambria" w:hAnsi="Cambria"/>
          <w:lang w:val="sv-SE"/>
        </w:rPr>
        <w:t xml:space="preserve">forskning och utredningar. </w:t>
      </w:r>
      <w:r w:rsidR="00E93AF7">
        <w:rPr>
          <w:rFonts w:ascii="Cambria" w:hAnsi="Cambria"/>
          <w:lang w:val="sv-SE"/>
        </w:rPr>
        <w:t xml:space="preserve">Om något finns det indikationer på att en del konsekvenser kan bli helt omvända mot vad </w:t>
      </w:r>
      <w:r w:rsidR="00AF5CA2">
        <w:rPr>
          <w:rFonts w:ascii="Cambria" w:hAnsi="Cambria"/>
          <w:lang w:val="sv-SE"/>
        </w:rPr>
        <w:t>politikerna hoppas på</w:t>
      </w:r>
      <w:r w:rsidR="00E93AF7">
        <w:rPr>
          <w:rFonts w:ascii="Cambria" w:hAnsi="Cambria"/>
          <w:lang w:val="sv-SE"/>
        </w:rPr>
        <w:t xml:space="preserve">. </w:t>
      </w:r>
      <w:r w:rsidR="00AF5CA2" w:rsidRPr="005C7F60">
        <w:rPr>
          <w:rFonts w:ascii="Cambria" w:hAnsi="Cambria"/>
          <w:lang w:val="sv-SE"/>
        </w:rPr>
        <w:t xml:space="preserve">Det ska sägas att det finns svårlösta metodproblem som innebär att slutsatserna i svenska utredningar och studier måste tolkas med försiktighet. Detta understryker dock bara </w:t>
      </w:r>
      <w:r w:rsidR="00AF5CA2">
        <w:rPr>
          <w:rFonts w:ascii="Cambria" w:hAnsi="Cambria"/>
          <w:lang w:val="sv-SE"/>
        </w:rPr>
        <w:t>behovet av</w:t>
      </w:r>
      <w:r w:rsidR="00AF5CA2" w:rsidRPr="005C7F60">
        <w:rPr>
          <w:rFonts w:ascii="Cambria" w:hAnsi="Cambria"/>
          <w:lang w:val="sv-SE"/>
        </w:rPr>
        <w:t xml:space="preserve"> ordentliga utredningar med gedigna konsekvensanalyser. </w:t>
      </w:r>
    </w:p>
    <w:p w14:paraId="0BF347BF" w14:textId="77777777" w:rsidR="00E93AF7" w:rsidRDefault="00E93AF7" w:rsidP="00291C10">
      <w:pPr>
        <w:jc w:val="both"/>
        <w:rPr>
          <w:rFonts w:ascii="Cambria" w:hAnsi="Cambria"/>
          <w:lang w:val="sv-SE"/>
        </w:rPr>
      </w:pPr>
    </w:p>
    <w:p w14:paraId="3910705C" w14:textId="5AAF3AF7" w:rsidR="008F6FCF" w:rsidRPr="00361D74" w:rsidRDefault="00E93AF7" w:rsidP="00291C10">
      <w:pPr>
        <w:jc w:val="both"/>
        <w:rPr>
          <w:rFonts w:ascii="Cambria" w:hAnsi="Cambria"/>
          <w:lang w:val="sv-SE"/>
        </w:rPr>
      </w:pPr>
      <w:r>
        <w:rPr>
          <w:rFonts w:ascii="Cambria" w:hAnsi="Cambria"/>
          <w:lang w:val="sv-SE"/>
        </w:rPr>
        <w:t>Vår slutsats blir att Region Stockholm saknar lämpliga beslutsunderlag och därför bör utreda förslagen ordentligt innan de genomförs. Det är för riskfyllt att snabbt genomföra stora outredda förändringar av en så komplex verksamhet som specialistvård.</w:t>
      </w:r>
      <w:r w:rsidR="008F6FCF">
        <w:rPr>
          <w:rFonts w:ascii="Cambria" w:hAnsi="Cambria"/>
          <w:lang w:val="sv-SE"/>
        </w:rPr>
        <w:br w:type="page"/>
      </w:r>
    </w:p>
    <w:p w14:paraId="70610516" w14:textId="545529E5" w:rsidR="008A5AAC" w:rsidRPr="005A394A" w:rsidRDefault="00C52E8A" w:rsidP="001606E6">
      <w:pPr>
        <w:pStyle w:val="Rubrik1"/>
        <w:numPr>
          <w:ilvl w:val="0"/>
          <w:numId w:val="2"/>
        </w:numPr>
        <w:spacing w:before="0"/>
        <w:ind w:left="357" w:hanging="357"/>
        <w:rPr>
          <w:rFonts w:ascii="Cambria" w:hAnsi="Cambria"/>
          <w:sz w:val="24"/>
          <w:szCs w:val="24"/>
        </w:rPr>
      </w:pPr>
      <w:bookmarkStart w:id="1" w:name="_Toc164353517"/>
      <w:r w:rsidRPr="5367CA4D">
        <w:rPr>
          <w:rFonts w:ascii="Cambria" w:hAnsi="Cambria"/>
          <w:sz w:val="24"/>
          <w:szCs w:val="24"/>
        </w:rPr>
        <w:lastRenderedPageBreak/>
        <w:t>Introduktion</w:t>
      </w:r>
      <w:bookmarkEnd w:id="1"/>
    </w:p>
    <w:p w14:paraId="54BBF955" w14:textId="77777777" w:rsidR="00621F5A" w:rsidRPr="005A394A" w:rsidRDefault="00621F5A" w:rsidP="00A23AB4">
      <w:pPr>
        <w:jc w:val="both"/>
        <w:rPr>
          <w:rFonts w:ascii="Cambria" w:hAnsi="Cambria"/>
          <w:lang w:val="sv-SE"/>
        </w:rPr>
      </w:pPr>
    </w:p>
    <w:p w14:paraId="5D04AA7A" w14:textId="73CC7A73" w:rsidR="008546A8" w:rsidRDefault="008C3C87" w:rsidP="00CD11AE">
      <w:pPr>
        <w:jc w:val="both"/>
        <w:rPr>
          <w:rFonts w:ascii="Cambria" w:hAnsi="Cambria"/>
          <w:lang w:val="sv-SE"/>
        </w:rPr>
      </w:pPr>
      <w:r w:rsidRPr="008C3C87">
        <w:rPr>
          <w:rFonts w:ascii="Cambria" w:hAnsi="Cambria"/>
          <w:lang w:val="sv-SE"/>
        </w:rPr>
        <w:t xml:space="preserve">Under de senaste decennierna har den privata sektorn </w:t>
      </w:r>
      <w:r w:rsidR="00FD7600">
        <w:rPr>
          <w:rFonts w:ascii="Cambria" w:hAnsi="Cambria"/>
          <w:lang w:val="sv-SE"/>
        </w:rPr>
        <w:t>blivit</w:t>
      </w:r>
      <w:r w:rsidRPr="008C3C87">
        <w:rPr>
          <w:rFonts w:ascii="Cambria" w:hAnsi="Cambria"/>
          <w:lang w:val="sv-SE"/>
        </w:rPr>
        <w:t xml:space="preserve"> en allt viktigare del av den </w:t>
      </w:r>
      <w:r w:rsidR="00FD7600">
        <w:rPr>
          <w:rFonts w:ascii="Cambria" w:hAnsi="Cambria"/>
          <w:lang w:val="sv-SE"/>
        </w:rPr>
        <w:t>skatte</w:t>
      </w:r>
      <w:r w:rsidRPr="008C3C87">
        <w:rPr>
          <w:rFonts w:ascii="Cambria" w:hAnsi="Cambria"/>
          <w:lang w:val="sv-SE"/>
        </w:rPr>
        <w:t xml:space="preserve">finansierade vården i Sverige. Och inte i någonstans i Sverige har den privata sektorn expanderat lika mycket som i Stockholm. Redan 2008 infördes fritt vårdval i </w:t>
      </w:r>
      <w:r w:rsidR="00FD7600">
        <w:rPr>
          <w:rFonts w:ascii="Cambria" w:hAnsi="Cambria"/>
          <w:lang w:val="sv-SE"/>
        </w:rPr>
        <w:t xml:space="preserve">Stockholms </w:t>
      </w:r>
      <w:r w:rsidRPr="008C3C87">
        <w:rPr>
          <w:rFonts w:ascii="Cambria" w:hAnsi="Cambria"/>
          <w:lang w:val="sv-SE"/>
        </w:rPr>
        <w:t xml:space="preserve">primärvård. Denna reform gav patienter rätten att välja vårdgivare och privata vårdgivare rätten att etablera sig var de vill, så länge de uppfyller regionens kriterier. Samtidigt förändrades ersättningssystemet så att </w:t>
      </w:r>
      <w:r w:rsidR="00FD7600">
        <w:rPr>
          <w:rFonts w:ascii="Cambria" w:hAnsi="Cambria"/>
          <w:lang w:val="sv-SE"/>
        </w:rPr>
        <w:t>pengarna</w:t>
      </w:r>
      <w:r w:rsidR="00FD7600" w:rsidRPr="008C3C87">
        <w:rPr>
          <w:rFonts w:ascii="Cambria" w:hAnsi="Cambria"/>
          <w:lang w:val="sv-SE"/>
        </w:rPr>
        <w:t xml:space="preserve"> </w:t>
      </w:r>
      <w:r w:rsidRPr="008C3C87">
        <w:rPr>
          <w:rFonts w:ascii="Cambria" w:hAnsi="Cambria"/>
          <w:lang w:val="sv-SE"/>
        </w:rPr>
        <w:t xml:space="preserve">följer patienten. </w:t>
      </w:r>
      <w:r w:rsidR="00FD7600">
        <w:rPr>
          <w:rFonts w:ascii="Cambria" w:hAnsi="Cambria"/>
          <w:lang w:val="sv-SE"/>
        </w:rPr>
        <w:t>D</w:t>
      </w:r>
      <w:r w:rsidRPr="008C3C87">
        <w:rPr>
          <w:rFonts w:ascii="Cambria" w:hAnsi="Cambria"/>
          <w:lang w:val="sv-SE"/>
        </w:rPr>
        <w:t xml:space="preserve">en privata konkurrensen </w:t>
      </w:r>
      <w:r w:rsidR="00FD7600">
        <w:rPr>
          <w:rFonts w:ascii="Cambria" w:hAnsi="Cambria"/>
          <w:lang w:val="sv-SE"/>
        </w:rPr>
        <w:t xml:space="preserve">ökade </w:t>
      </w:r>
      <w:r w:rsidRPr="008C3C87">
        <w:rPr>
          <w:rFonts w:ascii="Cambria" w:hAnsi="Cambria"/>
          <w:lang w:val="sv-SE"/>
        </w:rPr>
        <w:t>väsentligt till följd av reformen.</w:t>
      </w:r>
    </w:p>
    <w:p w14:paraId="4BE509F9" w14:textId="77777777" w:rsidR="008C3C87" w:rsidRDefault="008C3C87" w:rsidP="00CD11AE">
      <w:pPr>
        <w:jc w:val="both"/>
        <w:rPr>
          <w:rFonts w:ascii="Cambria" w:hAnsi="Cambria"/>
          <w:lang w:val="sv-SE"/>
        </w:rPr>
      </w:pPr>
    </w:p>
    <w:p w14:paraId="67320C39" w14:textId="5E914CE7" w:rsidR="008C3C87" w:rsidRDefault="008C3C87" w:rsidP="00CD11AE">
      <w:pPr>
        <w:jc w:val="both"/>
        <w:rPr>
          <w:rFonts w:ascii="Cambria" w:hAnsi="Cambria"/>
          <w:lang w:val="sv-SE"/>
        </w:rPr>
      </w:pPr>
      <w:r w:rsidRPr="008C3C87">
        <w:rPr>
          <w:rFonts w:ascii="Cambria" w:hAnsi="Cambria"/>
          <w:lang w:val="sv-SE"/>
        </w:rPr>
        <w:t>Sedan dess har vårdvalet successivt byggts ut till att också omfatta olika former av specialistvård. Här skiljer sig Stockholm från övriga landet där vårdval framför allt förekommer i primärvården.</w:t>
      </w:r>
    </w:p>
    <w:p w14:paraId="43116AD1" w14:textId="77777777" w:rsidR="008C3C87" w:rsidRDefault="008C3C87" w:rsidP="00CD11AE">
      <w:pPr>
        <w:jc w:val="both"/>
        <w:rPr>
          <w:rFonts w:ascii="Cambria" w:hAnsi="Cambria"/>
          <w:lang w:val="sv-SE"/>
        </w:rPr>
      </w:pPr>
    </w:p>
    <w:p w14:paraId="5D252F06" w14:textId="79EF2F95" w:rsidR="00564F5F" w:rsidRDefault="00564F5F" w:rsidP="009314C4">
      <w:pPr>
        <w:jc w:val="both"/>
        <w:rPr>
          <w:rFonts w:ascii="Cambria" w:hAnsi="Cambria"/>
          <w:lang w:val="sv-SE"/>
        </w:rPr>
      </w:pPr>
      <w:r>
        <w:rPr>
          <w:rFonts w:ascii="Cambria" w:hAnsi="Cambria"/>
          <w:lang w:val="sv-SE"/>
        </w:rPr>
        <w:t xml:space="preserve">Men sedan valet 2022 har det skett en </w:t>
      </w:r>
      <w:r w:rsidR="00AD02ED">
        <w:rPr>
          <w:rFonts w:ascii="Cambria" w:hAnsi="Cambria"/>
          <w:lang w:val="sv-SE"/>
        </w:rPr>
        <w:t>kursomläggning</w:t>
      </w:r>
      <w:r w:rsidR="00347416">
        <w:rPr>
          <w:rFonts w:ascii="Cambria" w:hAnsi="Cambria"/>
          <w:lang w:val="sv-SE"/>
        </w:rPr>
        <w:t xml:space="preserve"> i Stockholm</w:t>
      </w:r>
      <w:r>
        <w:rPr>
          <w:rFonts w:ascii="Cambria" w:hAnsi="Cambria"/>
          <w:lang w:val="sv-SE"/>
        </w:rPr>
        <w:t xml:space="preserve">. </w:t>
      </w:r>
      <w:r w:rsidR="002255A2">
        <w:rPr>
          <w:rFonts w:ascii="Cambria" w:hAnsi="Cambria"/>
          <w:lang w:val="sv-SE"/>
        </w:rPr>
        <w:t xml:space="preserve">Den nya rödgröna </w:t>
      </w:r>
      <w:r w:rsidR="00C91A56">
        <w:rPr>
          <w:rFonts w:ascii="Cambria" w:hAnsi="Cambria"/>
          <w:lang w:val="sv-SE"/>
        </w:rPr>
        <w:t>koalitionen</w:t>
      </w:r>
      <w:r>
        <w:rPr>
          <w:rFonts w:ascii="Cambria" w:hAnsi="Cambria"/>
          <w:lang w:val="sv-SE"/>
        </w:rPr>
        <w:t xml:space="preserve"> – Socialdemokraterna, Miljöpartiet och Centerpartiet, tillsammans med Vänsterpartiet som stödparti – </w:t>
      </w:r>
      <w:r w:rsidR="00AD02ED">
        <w:rPr>
          <w:rFonts w:ascii="Cambria" w:hAnsi="Cambria"/>
          <w:lang w:val="sv-SE"/>
        </w:rPr>
        <w:t xml:space="preserve">har satt </w:t>
      </w:r>
      <w:proofErr w:type="gramStart"/>
      <w:r w:rsidR="00AD02ED">
        <w:rPr>
          <w:rFonts w:ascii="Cambria" w:hAnsi="Cambria"/>
          <w:lang w:val="sv-SE"/>
        </w:rPr>
        <w:t>igång</w:t>
      </w:r>
      <w:proofErr w:type="gramEnd"/>
      <w:r w:rsidR="009314C4" w:rsidRPr="009314C4">
        <w:rPr>
          <w:rFonts w:ascii="Cambria" w:hAnsi="Cambria"/>
          <w:lang w:val="sv-SE"/>
        </w:rPr>
        <w:t xml:space="preserve"> långtgående förändringar. </w:t>
      </w:r>
      <w:r w:rsidRPr="00564F5F">
        <w:rPr>
          <w:rFonts w:ascii="Cambria" w:hAnsi="Cambria"/>
          <w:lang w:val="sv-SE"/>
        </w:rPr>
        <w:t xml:space="preserve">Det socialdemokratiska finansregionrådet Aida </w:t>
      </w:r>
      <w:proofErr w:type="spellStart"/>
      <w:r w:rsidR="00E4663C" w:rsidRPr="00E4663C">
        <w:rPr>
          <w:rFonts w:ascii="Cambria" w:hAnsi="Cambria"/>
          <w:lang w:val="sv-SE"/>
        </w:rPr>
        <w:t>Hadžialić</w:t>
      </w:r>
      <w:proofErr w:type="spellEnd"/>
      <w:r w:rsidRPr="00564F5F">
        <w:rPr>
          <w:rFonts w:ascii="Cambria" w:hAnsi="Cambria"/>
          <w:lang w:val="sv-SE"/>
        </w:rPr>
        <w:t xml:space="preserve"> talar om ett ”</w:t>
      </w:r>
      <w:r w:rsidR="00E80324" w:rsidRPr="00564F5F">
        <w:rPr>
          <w:rFonts w:ascii="Cambria" w:hAnsi="Cambria"/>
          <w:lang w:val="sv-SE"/>
        </w:rPr>
        <w:t>paradigmskifte</w:t>
      </w:r>
      <w:r w:rsidRPr="00564F5F">
        <w:rPr>
          <w:rFonts w:ascii="Cambria" w:hAnsi="Cambria"/>
          <w:lang w:val="sv-SE"/>
        </w:rPr>
        <w:t xml:space="preserve">” där vårdval ska begränsas (i vissa fall avskaffas) och vård tas tillbaka från privat till offentlig regi. Hon hävdar även att Region Stockholm har </w:t>
      </w:r>
      <w:r w:rsidR="00E923AB">
        <w:rPr>
          <w:rFonts w:ascii="Cambria" w:hAnsi="Cambria"/>
          <w:lang w:val="sv-SE"/>
        </w:rPr>
        <w:t>”</w:t>
      </w:r>
      <w:r w:rsidRPr="00564F5F">
        <w:rPr>
          <w:rFonts w:ascii="Cambria" w:hAnsi="Cambria"/>
          <w:lang w:val="sv-SE"/>
        </w:rPr>
        <w:t>slösat bort extremt mycket skattepengar</w:t>
      </w:r>
      <w:r w:rsidR="00E923AB">
        <w:rPr>
          <w:rFonts w:ascii="Cambria" w:hAnsi="Cambria"/>
          <w:lang w:val="sv-SE"/>
        </w:rPr>
        <w:t>”</w:t>
      </w:r>
      <w:r w:rsidRPr="00564F5F">
        <w:rPr>
          <w:rFonts w:ascii="Cambria" w:hAnsi="Cambria"/>
          <w:lang w:val="sv-SE"/>
        </w:rPr>
        <w:t xml:space="preserve"> genom att vård utförs i privat i stället för i offentlig regi</w:t>
      </w:r>
      <w:r w:rsidR="00E923AB">
        <w:rPr>
          <w:rFonts w:ascii="Cambria" w:hAnsi="Cambria"/>
          <w:lang w:val="sv-SE"/>
        </w:rPr>
        <w:t xml:space="preserve"> (</w:t>
      </w:r>
      <w:r w:rsidR="00E923AB" w:rsidRPr="00E923AB">
        <w:rPr>
          <w:rFonts w:ascii="Cambria" w:hAnsi="Cambria"/>
          <w:lang w:val="sv-SE"/>
        </w:rPr>
        <w:t>Nordenskiöld 2024</w:t>
      </w:r>
      <w:r w:rsidR="00E923AB">
        <w:rPr>
          <w:rFonts w:ascii="Cambria" w:hAnsi="Cambria"/>
          <w:lang w:val="sv-SE"/>
        </w:rPr>
        <w:t>)</w:t>
      </w:r>
      <w:r>
        <w:rPr>
          <w:rFonts w:ascii="Cambria" w:hAnsi="Cambria"/>
          <w:lang w:val="sv-SE"/>
        </w:rPr>
        <w:t>.</w:t>
      </w:r>
    </w:p>
    <w:p w14:paraId="205A3986" w14:textId="77777777" w:rsidR="00564F5F" w:rsidRDefault="00564F5F" w:rsidP="009314C4">
      <w:pPr>
        <w:jc w:val="both"/>
        <w:rPr>
          <w:rFonts w:ascii="Cambria" w:hAnsi="Cambria"/>
          <w:lang w:val="sv-SE"/>
        </w:rPr>
      </w:pPr>
    </w:p>
    <w:p w14:paraId="7E96CC08" w14:textId="6FF7F9A6" w:rsidR="00763977" w:rsidRDefault="00E923AB" w:rsidP="009314C4">
      <w:pPr>
        <w:jc w:val="both"/>
        <w:rPr>
          <w:rFonts w:ascii="Cambria" w:hAnsi="Cambria"/>
          <w:lang w:val="sv-SE"/>
        </w:rPr>
      </w:pPr>
      <w:r>
        <w:rPr>
          <w:rFonts w:ascii="Cambria" w:hAnsi="Cambria"/>
          <w:lang w:val="sv-SE"/>
        </w:rPr>
        <w:t>Den nya rödgröna koalitionen</w:t>
      </w:r>
      <w:r w:rsidR="00564F5F">
        <w:rPr>
          <w:rFonts w:ascii="Cambria" w:hAnsi="Cambria"/>
          <w:lang w:val="sv-SE"/>
        </w:rPr>
        <w:t xml:space="preserve"> </w:t>
      </w:r>
      <w:r>
        <w:rPr>
          <w:rFonts w:ascii="Cambria" w:hAnsi="Cambria"/>
          <w:lang w:val="sv-SE"/>
        </w:rPr>
        <w:t xml:space="preserve">har </w:t>
      </w:r>
      <w:r w:rsidR="00E652A6">
        <w:rPr>
          <w:rFonts w:ascii="Cambria" w:hAnsi="Cambria"/>
          <w:lang w:val="sv-SE"/>
        </w:rPr>
        <w:t xml:space="preserve">beslutat att </w:t>
      </w:r>
      <w:r w:rsidR="009314C4" w:rsidRPr="009314C4">
        <w:rPr>
          <w:rFonts w:ascii="Cambria" w:hAnsi="Cambria"/>
          <w:lang w:val="sv-SE"/>
        </w:rPr>
        <w:t>ta över</w:t>
      </w:r>
      <w:r w:rsidR="005F5E2A">
        <w:rPr>
          <w:rFonts w:ascii="Cambria" w:hAnsi="Cambria"/>
          <w:lang w:val="sv-SE"/>
        </w:rPr>
        <w:t xml:space="preserve"> </w:t>
      </w:r>
      <w:r>
        <w:rPr>
          <w:rFonts w:ascii="Cambria" w:hAnsi="Cambria"/>
          <w:lang w:val="sv-SE"/>
        </w:rPr>
        <w:t xml:space="preserve">en del </w:t>
      </w:r>
      <w:r w:rsidR="009314C4" w:rsidRPr="009314C4">
        <w:rPr>
          <w:rFonts w:ascii="Cambria" w:hAnsi="Cambria"/>
          <w:lang w:val="sv-SE"/>
        </w:rPr>
        <w:t>vård i offentlig regi</w:t>
      </w:r>
      <w:r w:rsidR="00564F5F">
        <w:rPr>
          <w:rFonts w:ascii="Cambria" w:hAnsi="Cambria"/>
          <w:lang w:val="sv-SE"/>
        </w:rPr>
        <w:t xml:space="preserve"> </w:t>
      </w:r>
      <w:r w:rsidR="009314C4" w:rsidRPr="009314C4">
        <w:rPr>
          <w:rFonts w:ascii="Cambria" w:hAnsi="Cambria"/>
          <w:lang w:val="sv-SE"/>
        </w:rPr>
        <w:t>och</w:t>
      </w:r>
      <w:r w:rsidR="00E652A6">
        <w:rPr>
          <w:rFonts w:ascii="Cambria" w:hAnsi="Cambria"/>
          <w:lang w:val="sv-SE"/>
        </w:rPr>
        <w:t xml:space="preserve"> i andra fall</w:t>
      </w:r>
      <w:r w:rsidR="00564F5F">
        <w:rPr>
          <w:rFonts w:ascii="Cambria" w:hAnsi="Cambria"/>
          <w:lang w:val="sv-SE"/>
        </w:rPr>
        <w:t xml:space="preserve"> </w:t>
      </w:r>
      <w:r w:rsidR="009314C4" w:rsidRPr="009314C4">
        <w:rPr>
          <w:rFonts w:ascii="Cambria" w:hAnsi="Cambria"/>
          <w:lang w:val="sv-SE"/>
        </w:rPr>
        <w:t>att upphandling ska ersätta</w:t>
      </w:r>
      <w:r w:rsidR="005F5E2A">
        <w:rPr>
          <w:rFonts w:ascii="Cambria" w:hAnsi="Cambria"/>
          <w:lang w:val="sv-SE"/>
        </w:rPr>
        <w:t xml:space="preserve"> </w:t>
      </w:r>
      <w:r w:rsidR="009314C4" w:rsidRPr="009314C4">
        <w:rPr>
          <w:rFonts w:ascii="Cambria" w:hAnsi="Cambria"/>
          <w:lang w:val="sv-SE"/>
        </w:rPr>
        <w:t>vårdval</w:t>
      </w:r>
      <w:r w:rsidR="00E652A6">
        <w:rPr>
          <w:rFonts w:ascii="Cambria" w:hAnsi="Cambria"/>
          <w:lang w:val="sv-SE"/>
        </w:rPr>
        <w:t>.</w:t>
      </w:r>
      <w:r w:rsidR="00564F5F">
        <w:rPr>
          <w:rFonts w:ascii="Cambria" w:hAnsi="Cambria"/>
          <w:lang w:val="sv-SE"/>
        </w:rPr>
        <w:t xml:space="preserve"> </w:t>
      </w:r>
      <w:r w:rsidR="009314C4" w:rsidRPr="009314C4">
        <w:rPr>
          <w:rFonts w:ascii="Cambria" w:hAnsi="Cambria"/>
          <w:lang w:val="sv-SE"/>
        </w:rPr>
        <w:t xml:space="preserve">Målet </w:t>
      </w:r>
      <w:r w:rsidR="002255A2">
        <w:rPr>
          <w:rFonts w:ascii="Cambria" w:hAnsi="Cambria"/>
          <w:lang w:val="sv-SE"/>
        </w:rPr>
        <w:t xml:space="preserve">med dessa förändringar </w:t>
      </w:r>
      <w:r w:rsidR="009314C4" w:rsidRPr="009314C4">
        <w:rPr>
          <w:rFonts w:ascii="Cambria" w:hAnsi="Cambria"/>
          <w:lang w:val="sv-SE"/>
        </w:rPr>
        <w:t xml:space="preserve">är </w:t>
      </w:r>
      <w:r w:rsidR="002B71DE">
        <w:rPr>
          <w:rFonts w:ascii="Cambria" w:hAnsi="Cambria"/>
          <w:lang w:val="sv-SE"/>
        </w:rPr>
        <w:t xml:space="preserve">bland annat </w:t>
      </w:r>
      <w:r w:rsidR="009314C4" w:rsidRPr="009314C4">
        <w:rPr>
          <w:rFonts w:ascii="Cambria" w:hAnsi="Cambria"/>
          <w:lang w:val="sv-SE"/>
        </w:rPr>
        <w:t>att minska så kallad överkonsumtion av vård, minska kostnaderna samt</w:t>
      </w:r>
      <w:r w:rsidR="009314C4">
        <w:rPr>
          <w:rFonts w:ascii="Cambria" w:hAnsi="Cambria"/>
          <w:lang w:val="sv-SE"/>
        </w:rPr>
        <w:t xml:space="preserve"> </w:t>
      </w:r>
      <w:r>
        <w:rPr>
          <w:rFonts w:ascii="Cambria" w:hAnsi="Cambria"/>
          <w:lang w:val="sv-SE"/>
        </w:rPr>
        <w:t xml:space="preserve">göra vården mer </w:t>
      </w:r>
      <w:r w:rsidR="009314C4" w:rsidRPr="009314C4">
        <w:rPr>
          <w:rFonts w:ascii="Cambria" w:hAnsi="Cambria"/>
          <w:lang w:val="sv-SE"/>
        </w:rPr>
        <w:t>jämlik.</w:t>
      </w:r>
      <w:r w:rsidR="00504132">
        <w:rPr>
          <w:rFonts w:ascii="Cambria" w:hAnsi="Cambria"/>
          <w:lang w:val="sv-SE"/>
        </w:rPr>
        <w:t xml:space="preserve"> </w:t>
      </w:r>
      <w:r w:rsidR="00E652A6">
        <w:rPr>
          <w:rFonts w:ascii="Cambria" w:hAnsi="Cambria"/>
          <w:lang w:val="sv-SE"/>
        </w:rPr>
        <w:t>I vissa fall hänvisar man också</w:t>
      </w:r>
      <w:r w:rsidR="00C12DD0">
        <w:rPr>
          <w:rFonts w:ascii="Cambria" w:hAnsi="Cambria"/>
          <w:lang w:val="sv-SE"/>
        </w:rPr>
        <w:t xml:space="preserve"> till </w:t>
      </w:r>
      <w:r>
        <w:rPr>
          <w:rFonts w:ascii="Cambria" w:hAnsi="Cambria"/>
          <w:lang w:val="sv-SE"/>
        </w:rPr>
        <w:t xml:space="preserve">beredskapsskäl </w:t>
      </w:r>
      <w:r w:rsidR="008425E2">
        <w:rPr>
          <w:rFonts w:ascii="Cambria" w:hAnsi="Cambria"/>
          <w:lang w:val="sv-SE"/>
        </w:rPr>
        <w:t>med anledning</w:t>
      </w:r>
      <w:r>
        <w:rPr>
          <w:rFonts w:ascii="Cambria" w:hAnsi="Cambria"/>
          <w:lang w:val="sv-SE"/>
        </w:rPr>
        <w:t xml:space="preserve"> av </w:t>
      </w:r>
      <w:r w:rsidR="00C12DD0">
        <w:rPr>
          <w:rFonts w:ascii="Cambria" w:hAnsi="Cambria"/>
          <w:lang w:val="sv-SE"/>
        </w:rPr>
        <w:t>det förändrade omvärldsläget.</w:t>
      </w:r>
      <w:r w:rsidR="00BB0EB5">
        <w:rPr>
          <w:rFonts w:ascii="Cambria" w:hAnsi="Cambria"/>
          <w:lang w:val="sv-SE"/>
        </w:rPr>
        <w:t xml:space="preserve"> </w:t>
      </w:r>
    </w:p>
    <w:p w14:paraId="738B3890" w14:textId="77777777" w:rsidR="00564F5F" w:rsidRPr="00564F5F" w:rsidRDefault="00564F5F" w:rsidP="00564F5F">
      <w:pPr>
        <w:jc w:val="both"/>
        <w:rPr>
          <w:rFonts w:ascii="Cambria" w:hAnsi="Cambria"/>
          <w:lang w:val="sv-SE"/>
        </w:rPr>
      </w:pPr>
    </w:p>
    <w:p w14:paraId="1D746BA1" w14:textId="74B3D74B" w:rsidR="00BB0EB5" w:rsidRDefault="00564F5F" w:rsidP="00564F5F">
      <w:pPr>
        <w:jc w:val="both"/>
        <w:rPr>
          <w:rFonts w:ascii="Cambria" w:hAnsi="Cambria"/>
          <w:lang w:val="sv-SE"/>
        </w:rPr>
      </w:pPr>
      <w:r w:rsidRPr="00564F5F">
        <w:rPr>
          <w:rFonts w:ascii="Cambria" w:hAnsi="Cambria"/>
          <w:lang w:val="sv-SE"/>
        </w:rPr>
        <w:t xml:space="preserve">I den här rapporten beskriver vi de förändringar som </w:t>
      </w:r>
      <w:r w:rsidR="00E923AB">
        <w:rPr>
          <w:rFonts w:ascii="Cambria" w:hAnsi="Cambria"/>
          <w:lang w:val="sv-SE"/>
        </w:rPr>
        <w:t xml:space="preserve">redan har satts </w:t>
      </w:r>
      <w:proofErr w:type="gramStart"/>
      <w:r w:rsidR="00E923AB">
        <w:rPr>
          <w:rFonts w:ascii="Cambria" w:hAnsi="Cambria"/>
          <w:lang w:val="sv-SE"/>
        </w:rPr>
        <w:t>igång</w:t>
      </w:r>
      <w:proofErr w:type="gramEnd"/>
      <w:r w:rsidR="00E923AB">
        <w:rPr>
          <w:rFonts w:ascii="Cambria" w:hAnsi="Cambria"/>
          <w:lang w:val="sv-SE"/>
        </w:rPr>
        <w:t xml:space="preserve"> eller planeras av </w:t>
      </w:r>
      <w:r w:rsidRPr="00564F5F">
        <w:rPr>
          <w:rFonts w:ascii="Cambria" w:hAnsi="Cambria"/>
          <w:lang w:val="sv-SE"/>
        </w:rPr>
        <w:t xml:space="preserve">den </w:t>
      </w:r>
      <w:r w:rsidR="00E923AB">
        <w:rPr>
          <w:rFonts w:ascii="Cambria" w:hAnsi="Cambria"/>
          <w:lang w:val="sv-SE"/>
        </w:rPr>
        <w:t>rödgröna</w:t>
      </w:r>
      <w:r w:rsidR="00E923AB" w:rsidRPr="00564F5F">
        <w:rPr>
          <w:rFonts w:ascii="Cambria" w:hAnsi="Cambria"/>
          <w:lang w:val="sv-SE"/>
        </w:rPr>
        <w:t xml:space="preserve"> </w:t>
      </w:r>
      <w:r w:rsidRPr="00564F5F">
        <w:rPr>
          <w:rFonts w:ascii="Cambria" w:hAnsi="Cambria"/>
          <w:lang w:val="sv-SE"/>
        </w:rPr>
        <w:t>majoriteten i Region Stockholm</w:t>
      </w:r>
      <w:r w:rsidR="00E923AB">
        <w:rPr>
          <w:rFonts w:ascii="Cambria" w:hAnsi="Cambria"/>
          <w:lang w:val="sv-SE"/>
        </w:rPr>
        <w:t xml:space="preserve">. Vi går igenom </w:t>
      </w:r>
      <w:r w:rsidR="002D5BD0">
        <w:rPr>
          <w:rFonts w:ascii="Cambria" w:hAnsi="Cambria"/>
          <w:lang w:val="sv-SE"/>
        </w:rPr>
        <w:t xml:space="preserve">de </w:t>
      </w:r>
      <w:r w:rsidR="002D5BD0" w:rsidRPr="00564F5F">
        <w:rPr>
          <w:rFonts w:ascii="Cambria" w:hAnsi="Cambria"/>
          <w:lang w:val="sv-SE"/>
        </w:rPr>
        <w:t>beslutsunderlag</w:t>
      </w:r>
      <w:r w:rsidRPr="00564F5F">
        <w:rPr>
          <w:rFonts w:ascii="Cambria" w:hAnsi="Cambria"/>
          <w:lang w:val="sv-SE"/>
        </w:rPr>
        <w:t xml:space="preserve"> som tagits fram, </w:t>
      </w:r>
      <w:r w:rsidR="00E923AB">
        <w:rPr>
          <w:rFonts w:ascii="Cambria" w:hAnsi="Cambria"/>
          <w:lang w:val="sv-SE"/>
        </w:rPr>
        <w:t>samt</w:t>
      </w:r>
      <w:r w:rsidR="00E923AB" w:rsidRPr="00564F5F">
        <w:rPr>
          <w:rFonts w:ascii="Cambria" w:hAnsi="Cambria"/>
          <w:lang w:val="sv-SE"/>
        </w:rPr>
        <w:t xml:space="preserve"> </w:t>
      </w:r>
      <w:r w:rsidRPr="00564F5F">
        <w:rPr>
          <w:rFonts w:ascii="Cambria" w:hAnsi="Cambria"/>
          <w:lang w:val="sv-SE"/>
        </w:rPr>
        <w:t xml:space="preserve">vad </w:t>
      </w:r>
      <w:r w:rsidR="002D5BD0">
        <w:rPr>
          <w:rFonts w:ascii="Cambria" w:hAnsi="Cambria"/>
          <w:lang w:val="sv-SE"/>
        </w:rPr>
        <w:t>underlagen</w:t>
      </w:r>
      <w:r w:rsidR="002D5BD0" w:rsidRPr="00564F5F">
        <w:rPr>
          <w:rFonts w:ascii="Cambria" w:hAnsi="Cambria"/>
          <w:lang w:val="sv-SE"/>
        </w:rPr>
        <w:t xml:space="preserve"> </w:t>
      </w:r>
      <w:r w:rsidR="00E923AB">
        <w:rPr>
          <w:rFonts w:ascii="Cambria" w:hAnsi="Cambria"/>
          <w:lang w:val="sv-SE"/>
        </w:rPr>
        <w:t xml:space="preserve">och </w:t>
      </w:r>
      <w:r w:rsidR="00AB4D72">
        <w:rPr>
          <w:rFonts w:ascii="Cambria" w:hAnsi="Cambria"/>
          <w:lang w:val="sv-SE"/>
        </w:rPr>
        <w:t>befintlig</w:t>
      </w:r>
      <w:r w:rsidR="00E923AB">
        <w:rPr>
          <w:rFonts w:ascii="Cambria" w:hAnsi="Cambria"/>
          <w:lang w:val="sv-SE"/>
        </w:rPr>
        <w:t xml:space="preserve"> </w:t>
      </w:r>
      <w:r w:rsidRPr="00564F5F">
        <w:rPr>
          <w:rFonts w:ascii="Cambria" w:hAnsi="Cambria"/>
          <w:lang w:val="sv-SE"/>
        </w:rPr>
        <w:t>forskning säger om förändringarnas</w:t>
      </w:r>
      <w:r w:rsidR="00AB4D72">
        <w:rPr>
          <w:rFonts w:ascii="Cambria" w:hAnsi="Cambria"/>
          <w:lang w:val="sv-SE"/>
        </w:rPr>
        <w:t xml:space="preserve"> troliga</w:t>
      </w:r>
      <w:r w:rsidRPr="00564F5F">
        <w:rPr>
          <w:rFonts w:ascii="Cambria" w:hAnsi="Cambria"/>
          <w:lang w:val="sv-SE"/>
        </w:rPr>
        <w:t xml:space="preserve"> konsekvenser.  </w:t>
      </w:r>
    </w:p>
    <w:p w14:paraId="266D8D78" w14:textId="77777777" w:rsidR="00564F5F" w:rsidRDefault="00564F5F" w:rsidP="00564F5F">
      <w:pPr>
        <w:jc w:val="both"/>
        <w:rPr>
          <w:rFonts w:ascii="Cambria" w:hAnsi="Cambria"/>
          <w:lang w:val="sv-SE"/>
        </w:rPr>
      </w:pPr>
    </w:p>
    <w:p w14:paraId="50B7400D" w14:textId="77777777" w:rsidR="007A21C5" w:rsidRDefault="00564F5F" w:rsidP="0001531E">
      <w:pPr>
        <w:jc w:val="both"/>
        <w:rPr>
          <w:rFonts w:ascii="Cambria" w:hAnsi="Cambria"/>
          <w:lang w:val="sv-SE"/>
        </w:rPr>
      </w:pPr>
      <w:r>
        <w:rPr>
          <w:rFonts w:ascii="Cambria" w:hAnsi="Cambria"/>
          <w:lang w:val="sv-SE"/>
        </w:rPr>
        <w:t xml:space="preserve">Vi har begärt ut relevanta handlingar från regionen för att </w:t>
      </w:r>
      <w:r w:rsidR="00D64B36">
        <w:rPr>
          <w:rFonts w:ascii="Cambria" w:hAnsi="Cambria"/>
          <w:lang w:val="sv-SE"/>
        </w:rPr>
        <w:t>se</w:t>
      </w:r>
      <w:r>
        <w:rPr>
          <w:rFonts w:ascii="Cambria" w:hAnsi="Cambria"/>
          <w:lang w:val="sv-SE"/>
        </w:rPr>
        <w:t xml:space="preserve"> vilka konsekvensanalyser som ligger bakom den </w:t>
      </w:r>
      <w:r w:rsidR="00D64B36">
        <w:rPr>
          <w:rFonts w:ascii="Cambria" w:hAnsi="Cambria"/>
          <w:lang w:val="sv-SE"/>
        </w:rPr>
        <w:t>nya inriktningen</w:t>
      </w:r>
      <w:r>
        <w:rPr>
          <w:rFonts w:ascii="Cambria" w:hAnsi="Cambria"/>
          <w:lang w:val="sv-SE"/>
        </w:rPr>
        <w:t xml:space="preserve">. </w:t>
      </w:r>
      <w:r w:rsidR="00D64B36">
        <w:rPr>
          <w:rFonts w:ascii="Cambria" w:hAnsi="Cambria"/>
          <w:lang w:val="sv-SE"/>
        </w:rPr>
        <w:t xml:space="preserve">Till vår förvåning </w:t>
      </w:r>
      <w:r w:rsidR="00BB0EB5">
        <w:rPr>
          <w:rFonts w:ascii="Cambria" w:hAnsi="Cambria"/>
          <w:lang w:val="sv-SE"/>
        </w:rPr>
        <w:t>visa</w:t>
      </w:r>
      <w:r w:rsidR="00D64B36">
        <w:rPr>
          <w:rFonts w:ascii="Cambria" w:hAnsi="Cambria"/>
          <w:lang w:val="sv-SE"/>
        </w:rPr>
        <w:t xml:space="preserve">de det sig </w:t>
      </w:r>
      <w:r w:rsidR="00BB0EB5">
        <w:rPr>
          <w:rFonts w:ascii="Cambria" w:hAnsi="Cambria"/>
          <w:lang w:val="sv-SE"/>
        </w:rPr>
        <w:t xml:space="preserve">att </w:t>
      </w:r>
      <w:r w:rsidR="00D64B36">
        <w:rPr>
          <w:rFonts w:ascii="Cambria" w:hAnsi="Cambria"/>
          <w:lang w:val="sv-SE"/>
        </w:rPr>
        <w:t>beslutsunderlag i flera fall saknas helt och att de underlag som finns inte håller en rimlig kvalitet</w:t>
      </w:r>
      <w:r w:rsidR="00BB0EB5">
        <w:rPr>
          <w:rFonts w:ascii="Cambria" w:hAnsi="Cambria"/>
          <w:lang w:val="sv-SE"/>
        </w:rPr>
        <w:t xml:space="preserve">. </w:t>
      </w:r>
      <w:r w:rsidR="00D64B36">
        <w:rPr>
          <w:rFonts w:ascii="Cambria" w:hAnsi="Cambria"/>
          <w:lang w:val="sv-SE"/>
        </w:rPr>
        <w:t>Faktum är att i</w:t>
      </w:r>
      <w:r w:rsidR="00BB0EB5">
        <w:rPr>
          <w:rFonts w:ascii="Cambria" w:hAnsi="Cambria"/>
          <w:lang w:val="sv-SE"/>
        </w:rPr>
        <w:t xml:space="preserve">nga </w:t>
      </w:r>
      <w:r w:rsidR="00AE680A">
        <w:rPr>
          <w:rFonts w:ascii="Cambria" w:hAnsi="Cambria"/>
          <w:lang w:val="sv-SE"/>
        </w:rPr>
        <w:t xml:space="preserve">ordentliga </w:t>
      </w:r>
      <w:r w:rsidR="00BB0EB5">
        <w:rPr>
          <w:rFonts w:ascii="Cambria" w:hAnsi="Cambria"/>
          <w:lang w:val="sv-SE"/>
        </w:rPr>
        <w:t xml:space="preserve">konsekvensanalyser </w:t>
      </w:r>
      <w:r w:rsidR="0071553B">
        <w:rPr>
          <w:rFonts w:ascii="Cambria" w:hAnsi="Cambria"/>
          <w:lang w:val="sv-SE"/>
        </w:rPr>
        <w:t>har</w:t>
      </w:r>
      <w:r w:rsidR="00AE680A">
        <w:rPr>
          <w:rFonts w:ascii="Cambria" w:hAnsi="Cambria"/>
          <w:lang w:val="sv-SE"/>
        </w:rPr>
        <w:t xml:space="preserve"> </w:t>
      </w:r>
      <w:r w:rsidR="00BB0EB5">
        <w:rPr>
          <w:rFonts w:ascii="Cambria" w:hAnsi="Cambria"/>
          <w:lang w:val="sv-SE"/>
        </w:rPr>
        <w:t>genomförts. Detta är</w:t>
      </w:r>
      <w:r w:rsidR="00BB0EB5" w:rsidRPr="00BB0EB5">
        <w:rPr>
          <w:rFonts w:ascii="Cambria" w:hAnsi="Cambria"/>
          <w:lang w:val="sv-SE"/>
        </w:rPr>
        <w:t xml:space="preserve"> bekymmersamt</w:t>
      </w:r>
      <w:r w:rsidR="0071553B">
        <w:rPr>
          <w:rFonts w:ascii="Cambria" w:hAnsi="Cambria"/>
          <w:lang w:val="sv-SE"/>
        </w:rPr>
        <w:t xml:space="preserve"> då </w:t>
      </w:r>
      <w:r w:rsidR="00D64B36">
        <w:rPr>
          <w:rFonts w:ascii="Cambria" w:hAnsi="Cambria"/>
          <w:lang w:val="sv-SE"/>
        </w:rPr>
        <w:t xml:space="preserve">stora </w:t>
      </w:r>
      <w:r w:rsidR="0071553B" w:rsidRPr="00BB0EB5">
        <w:rPr>
          <w:rFonts w:ascii="Cambria" w:hAnsi="Cambria"/>
          <w:lang w:val="sv-SE"/>
        </w:rPr>
        <w:t xml:space="preserve">förändringar av </w:t>
      </w:r>
      <w:r w:rsidR="00D64B36">
        <w:rPr>
          <w:rFonts w:ascii="Cambria" w:hAnsi="Cambria"/>
          <w:lang w:val="sv-SE"/>
        </w:rPr>
        <w:t xml:space="preserve">komplex verksamhet </w:t>
      </w:r>
      <w:r w:rsidR="0071553B" w:rsidRPr="00BB0EB5">
        <w:rPr>
          <w:rFonts w:ascii="Cambria" w:hAnsi="Cambria"/>
          <w:lang w:val="sv-SE"/>
        </w:rPr>
        <w:t xml:space="preserve">alltid </w:t>
      </w:r>
      <w:r w:rsidR="00D64B36">
        <w:rPr>
          <w:rFonts w:ascii="Cambria" w:hAnsi="Cambria"/>
          <w:lang w:val="sv-SE"/>
        </w:rPr>
        <w:t xml:space="preserve">bör </w:t>
      </w:r>
      <w:r w:rsidR="0071553B" w:rsidRPr="00BB0EB5">
        <w:rPr>
          <w:rFonts w:ascii="Cambria" w:hAnsi="Cambria"/>
          <w:lang w:val="sv-SE"/>
        </w:rPr>
        <w:t xml:space="preserve">föregås av </w:t>
      </w:r>
      <w:r w:rsidR="00387F9A">
        <w:rPr>
          <w:rFonts w:ascii="Cambria" w:hAnsi="Cambria"/>
          <w:lang w:val="sv-SE"/>
        </w:rPr>
        <w:t xml:space="preserve">vederbörliga </w:t>
      </w:r>
      <w:r w:rsidR="00D64B36">
        <w:rPr>
          <w:rFonts w:ascii="Cambria" w:hAnsi="Cambria"/>
          <w:lang w:val="sv-SE"/>
        </w:rPr>
        <w:t>utredningar</w:t>
      </w:r>
      <w:r w:rsidR="0071553B" w:rsidRPr="00BB0EB5">
        <w:rPr>
          <w:rFonts w:ascii="Cambria" w:hAnsi="Cambria"/>
          <w:lang w:val="sv-SE"/>
        </w:rPr>
        <w:t>. Det finns annars en stor risk för att de avsedda effekterna uteblir och att förändringarna i stället får oavsedda konsekvenser.</w:t>
      </w:r>
      <w:r w:rsidR="00E44575">
        <w:rPr>
          <w:rFonts w:ascii="Cambria" w:hAnsi="Cambria"/>
          <w:lang w:val="sv-SE"/>
        </w:rPr>
        <w:t xml:space="preserve"> </w:t>
      </w:r>
    </w:p>
    <w:p w14:paraId="5440B432" w14:textId="77777777" w:rsidR="007A21C5" w:rsidRDefault="007A21C5" w:rsidP="0001531E">
      <w:pPr>
        <w:jc w:val="both"/>
        <w:rPr>
          <w:rFonts w:ascii="Cambria" w:hAnsi="Cambria"/>
          <w:lang w:val="sv-SE"/>
        </w:rPr>
      </w:pPr>
    </w:p>
    <w:p w14:paraId="1699F861" w14:textId="2BFABC93" w:rsidR="009A588D" w:rsidRDefault="00364D72" w:rsidP="0001531E">
      <w:pPr>
        <w:jc w:val="both"/>
        <w:rPr>
          <w:rFonts w:ascii="Cambria" w:hAnsi="Cambria"/>
          <w:lang w:val="sv-SE"/>
        </w:rPr>
      </w:pPr>
      <w:r>
        <w:rPr>
          <w:rFonts w:ascii="Cambria" w:hAnsi="Cambria"/>
          <w:lang w:val="sv-SE"/>
        </w:rPr>
        <w:t>Vi använder ögonsjukvården – där vårdval</w:t>
      </w:r>
      <w:r w:rsidR="00387F9A">
        <w:rPr>
          <w:rFonts w:ascii="Cambria" w:hAnsi="Cambria"/>
          <w:lang w:val="sv-SE"/>
        </w:rPr>
        <w:t>et kommer att ersättas</w:t>
      </w:r>
      <w:r>
        <w:rPr>
          <w:rFonts w:ascii="Cambria" w:hAnsi="Cambria"/>
          <w:lang w:val="sv-SE"/>
        </w:rPr>
        <w:t xml:space="preserve"> </w:t>
      </w:r>
      <w:r w:rsidR="00387F9A">
        <w:rPr>
          <w:rFonts w:ascii="Cambria" w:hAnsi="Cambria"/>
          <w:lang w:val="sv-SE"/>
        </w:rPr>
        <w:t>av</w:t>
      </w:r>
      <w:r>
        <w:rPr>
          <w:rFonts w:ascii="Cambria" w:hAnsi="Cambria"/>
          <w:lang w:val="sv-SE"/>
        </w:rPr>
        <w:t xml:space="preserve"> upphandling – som en fallstudie för att </w:t>
      </w:r>
      <w:r w:rsidR="001C4CB3">
        <w:rPr>
          <w:rFonts w:ascii="Cambria" w:hAnsi="Cambria"/>
          <w:lang w:val="sv-SE"/>
        </w:rPr>
        <w:t>exemplifiera</w:t>
      </w:r>
      <w:r>
        <w:rPr>
          <w:rFonts w:ascii="Cambria" w:hAnsi="Cambria"/>
          <w:lang w:val="sv-SE"/>
        </w:rPr>
        <w:t xml:space="preserve"> bristerna i </w:t>
      </w:r>
      <w:r w:rsidR="007A21C5">
        <w:rPr>
          <w:rFonts w:ascii="Cambria" w:hAnsi="Cambria"/>
          <w:lang w:val="sv-SE"/>
        </w:rPr>
        <w:t>regionens underlag</w:t>
      </w:r>
      <w:r w:rsidR="00E44575">
        <w:rPr>
          <w:rFonts w:ascii="Cambria" w:hAnsi="Cambria"/>
          <w:lang w:val="sv-SE"/>
        </w:rPr>
        <w:t>.</w:t>
      </w:r>
      <w:r w:rsidR="000E6BBA">
        <w:rPr>
          <w:rFonts w:ascii="Cambria" w:hAnsi="Cambria"/>
          <w:lang w:val="sv-SE"/>
        </w:rPr>
        <w:t xml:space="preserve"> </w:t>
      </w:r>
      <w:r w:rsidR="00387F9A">
        <w:rPr>
          <w:rFonts w:ascii="Cambria" w:hAnsi="Cambria"/>
          <w:lang w:val="sv-SE"/>
        </w:rPr>
        <w:t>De presenterade analyserna av ögonsjukvården är ytliga och ger inte stöd för att vårdvalet är kostnadsdrivande på det sätt som hävdas. Att Region Stockholm har kortare vårdköer och uppfyller vårdgarantin bättre än andra regioner</w:t>
      </w:r>
      <w:r w:rsidR="007A21C5">
        <w:rPr>
          <w:rFonts w:ascii="Cambria" w:hAnsi="Cambria"/>
          <w:lang w:val="sv-SE"/>
        </w:rPr>
        <w:t xml:space="preserve"> – vilket har blivit allt tydligare sedan vårdvalet infördes –</w:t>
      </w:r>
      <w:r w:rsidR="00387F9A">
        <w:rPr>
          <w:rFonts w:ascii="Cambria" w:hAnsi="Cambria"/>
          <w:lang w:val="sv-SE"/>
        </w:rPr>
        <w:t xml:space="preserve"> bör rimligen också </w:t>
      </w:r>
      <w:r w:rsidR="00507775">
        <w:rPr>
          <w:rFonts w:ascii="Cambria" w:hAnsi="Cambria"/>
          <w:lang w:val="sv-SE"/>
        </w:rPr>
        <w:t>beakta</w:t>
      </w:r>
      <w:r w:rsidR="005B752D">
        <w:rPr>
          <w:rFonts w:ascii="Cambria" w:hAnsi="Cambria"/>
          <w:lang w:val="sv-SE"/>
        </w:rPr>
        <w:t>s</w:t>
      </w:r>
      <w:r w:rsidR="00507775">
        <w:rPr>
          <w:rFonts w:ascii="Cambria" w:hAnsi="Cambria"/>
          <w:lang w:val="sv-SE"/>
        </w:rPr>
        <w:t xml:space="preserve">. </w:t>
      </w:r>
    </w:p>
    <w:p w14:paraId="5914141D" w14:textId="7569D0B4" w:rsidR="00364D72" w:rsidRDefault="00364D72" w:rsidP="009314C4">
      <w:pPr>
        <w:jc w:val="both"/>
        <w:rPr>
          <w:rFonts w:ascii="Cambria" w:hAnsi="Cambria"/>
          <w:lang w:val="sv-SE"/>
        </w:rPr>
      </w:pPr>
      <w:r>
        <w:rPr>
          <w:rFonts w:ascii="Cambria" w:hAnsi="Cambria"/>
          <w:lang w:val="sv-SE"/>
        </w:rPr>
        <w:t xml:space="preserve"> </w:t>
      </w:r>
    </w:p>
    <w:p w14:paraId="1DBEB813" w14:textId="3EBB6F54" w:rsidR="001670ED" w:rsidRDefault="005C056E" w:rsidP="009314C4">
      <w:pPr>
        <w:jc w:val="both"/>
        <w:rPr>
          <w:rFonts w:ascii="Cambria" w:hAnsi="Cambria"/>
          <w:lang w:val="sv-SE"/>
        </w:rPr>
      </w:pPr>
      <w:r>
        <w:rPr>
          <w:rFonts w:ascii="Cambria" w:hAnsi="Cambria"/>
          <w:lang w:val="sv-SE"/>
        </w:rPr>
        <w:lastRenderedPageBreak/>
        <w:t>De bristfälliga beslutsunderlagen framstår som än mer anmärkningsvärd</w:t>
      </w:r>
      <w:r w:rsidR="00650627">
        <w:rPr>
          <w:rFonts w:ascii="Cambria" w:hAnsi="Cambria"/>
          <w:lang w:val="sv-SE"/>
        </w:rPr>
        <w:t>a</w:t>
      </w:r>
      <w:r>
        <w:rPr>
          <w:rFonts w:ascii="Cambria" w:hAnsi="Cambria"/>
          <w:lang w:val="sv-SE"/>
        </w:rPr>
        <w:t xml:space="preserve"> när befintlig forskning och tidigare utredningar beaktas. Det finns inte mycket stöd </w:t>
      </w:r>
      <w:r w:rsidR="00650627">
        <w:rPr>
          <w:rFonts w:ascii="Cambria" w:hAnsi="Cambria"/>
          <w:lang w:val="sv-SE"/>
        </w:rPr>
        <w:t xml:space="preserve">att hämta </w:t>
      </w:r>
      <w:r>
        <w:rPr>
          <w:rFonts w:ascii="Cambria" w:hAnsi="Cambria"/>
          <w:lang w:val="sv-SE"/>
        </w:rPr>
        <w:t xml:space="preserve">för att regionens angivna målsättningar kommer att uppnås genom att begränsa vårdval och privata alternativ. Tvärtom finns det skäl att tro att </w:t>
      </w:r>
      <w:r w:rsidR="002D5BD0">
        <w:rPr>
          <w:rFonts w:ascii="Cambria" w:hAnsi="Cambria"/>
          <w:lang w:val="sv-SE"/>
        </w:rPr>
        <w:t>vårdens kostnader</w:t>
      </w:r>
      <w:r>
        <w:rPr>
          <w:rFonts w:ascii="Cambria" w:hAnsi="Cambria"/>
          <w:lang w:val="sv-SE"/>
        </w:rPr>
        <w:t xml:space="preserve"> kommer att öka och tillgängligheten minska.</w:t>
      </w:r>
      <w:r w:rsidR="00F17F98">
        <w:rPr>
          <w:rFonts w:ascii="Cambria" w:hAnsi="Cambria"/>
          <w:lang w:val="sv-SE"/>
        </w:rPr>
        <w:t xml:space="preserve"> Privat vård har i flera dokumenterade fall visat sig vara mer kostnadseffektiv än offentlig. Påstående</w:t>
      </w:r>
      <w:r w:rsidR="00DE369E">
        <w:rPr>
          <w:rFonts w:ascii="Cambria" w:hAnsi="Cambria"/>
          <w:lang w:val="sv-SE"/>
        </w:rPr>
        <w:t xml:space="preserve">n om </w:t>
      </w:r>
      <w:r w:rsidR="00F17F98">
        <w:rPr>
          <w:rFonts w:ascii="Cambria" w:hAnsi="Cambria"/>
          <w:lang w:val="sv-SE"/>
        </w:rPr>
        <w:t xml:space="preserve">att kostnaderna minskar med mer vård i offentlig regi behöver därför backas upp av tydliga argument och analyser.  </w:t>
      </w:r>
    </w:p>
    <w:p w14:paraId="340216A8" w14:textId="77777777" w:rsidR="001670ED" w:rsidRDefault="001670ED" w:rsidP="009314C4">
      <w:pPr>
        <w:jc w:val="both"/>
        <w:rPr>
          <w:rFonts w:ascii="Cambria" w:hAnsi="Cambria"/>
          <w:lang w:val="sv-SE"/>
        </w:rPr>
      </w:pPr>
    </w:p>
    <w:p w14:paraId="588A950F" w14:textId="5CD80EF4" w:rsidR="0071553B" w:rsidRDefault="002D0D48" w:rsidP="009314C4">
      <w:pPr>
        <w:jc w:val="both"/>
        <w:rPr>
          <w:rFonts w:ascii="Cambria" w:hAnsi="Cambria"/>
          <w:lang w:val="sv-SE"/>
        </w:rPr>
      </w:pPr>
      <w:r>
        <w:rPr>
          <w:rFonts w:ascii="Cambria" w:hAnsi="Cambria"/>
          <w:lang w:val="sv-SE"/>
        </w:rPr>
        <w:t xml:space="preserve">Vår poäng är inte att de förändringar som </w:t>
      </w:r>
      <w:r w:rsidR="0071553B">
        <w:rPr>
          <w:rFonts w:ascii="Cambria" w:hAnsi="Cambria"/>
          <w:lang w:val="sv-SE"/>
        </w:rPr>
        <w:t xml:space="preserve">nu genomförs </w:t>
      </w:r>
      <w:r>
        <w:rPr>
          <w:rFonts w:ascii="Cambria" w:hAnsi="Cambria"/>
          <w:lang w:val="sv-SE"/>
        </w:rPr>
        <w:t xml:space="preserve">med säkerhet </w:t>
      </w:r>
      <w:r w:rsidR="0071553B">
        <w:rPr>
          <w:rFonts w:ascii="Cambria" w:hAnsi="Cambria"/>
          <w:lang w:val="sv-SE"/>
        </w:rPr>
        <w:t>kommer att resultera i sämre utfall</w:t>
      </w:r>
      <w:r>
        <w:rPr>
          <w:rFonts w:ascii="Cambria" w:hAnsi="Cambria"/>
          <w:lang w:val="sv-SE"/>
        </w:rPr>
        <w:t xml:space="preserve">. Det vi vill framhålla är </w:t>
      </w:r>
      <w:r w:rsidR="00FA1702">
        <w:rPr>
          <w:rFonts w:ascii="Cambria" w:hAnsi="Cambria"/>
          <w:lang w:val="sv-SE"/>
        </w:rPr>
        <w:t xml:space="preserve">att </w:t>
      </w:r>
      <w:r w:rsidR="005A3050">
        <w:rPr>
          <w:rFonts w:ascii="Cambria" w:hAnsi="Cambria"/>
          <w:lang w:val="sv-SE"/>
        </w:rPr>
        <w:t>stora</w:t>
      </w:r>
      <w:r>
        <w:rPr>
          <w:rFonts w:ascii="Cambria" w:hAnsi="Cambria"/>
          <w:lang w:val="sv-SE"/>
        </w:rPr>
        <w:t xml:space="preserve"> risker </w:t>
      </w:r>
      <w:r w:rsidR="005A3050">
        <w:rPr>
          <w:rFonts w:ascii="Cambria" w:hAnsi="Cambria"/>
          <w:lang w:val="sv-SE"/>
        </w:rPr>
        <w:t>föreligger</w:t>
      </w:r>
      <w:r w:rsidR="00FA1702">
        <w:rPr>
          <w:rFonts w:ascii="Cambria" w:hAnsi="Cambria"/>
          <w:lang w:val="sv-SE"/>
        </w:rPr>
        <w:t>, vilket talar för att</w:t>
      </w:r>
      <w:r>
        <w:rPr>
          <w:rFonts w:ascii="Cambria" w:hAnsi="Cambria"/>
          <w:lang w:val="sv-SE"/>
        </w:rPr>
        <w:t xml:space="preserve"> man </w:t>
      </w:r>
      <w:r w:rsidR="001670ED">
        <w:rPr>
          <w:rFonts w:ascii="Cambria" w:hAnsi="Cambria"/>
          <w:lang w:val="sv-SE"/>
        </w:rPr>
        <w:t>bör gå varsamt fram</w:t>
      </w:r>
      <w:r w:rsidR="0071553B">
        <w:rPr>
          <w:rFonts w:ascii="Cambria" w:hAnsi="Cambria"/>
          <w:lang w:val="sv-SE"/>
        </w:rPr>
        <w:t xml:space="preserve">.  </w:t>
      </w:r>
      <w:r w:rsidR="0071553B" w:rsidRPr="00BB0EB5">
        <w:rPr>
          <w:rFonts w:ascii="Cambria" w:hAnsi="Cambria"/>
          <w:lang w:val="sv-SE"/>
        </w:rPr>
        <w:t>Om ansvaret för sjukvården hade legat på statlig nivå skulle förändringar av den här magnituden ha föregåtts av offentliga utredningar</w:t>
      </w:r>
      <w:r w:rsidR="006A7C28">
        <w:rPr>
          <w:rFonts w:ascii="Cambria" w:hAnsi="Cambria"/>
          <w:lang w:val="sv-SE"/>
        </w:rPr>
        <w:t xml:space="preserve"> för att </w:t>
      </w:r>
      <w:r>
        <w:rPr>
          <w:rFonts w:ascii="Cambria" w:hAnsi="Cambria"/>
          <w:lang w:val="sv-SE"/>
        </w:rPr>
        <w:t xml:space="preserve">säkerställa att målen uppnås och </w:t>
      </w:r>
      <w:r w:rsidR="006A7C28">
        <w:rPr>
          <w:rFonts w:ascii="Cambria" w:hAnsi="Cambria"/>
          <w:lang w:val="sv-SE"/>
        </w:rPr>
        <w:t>oavsiktliga konsekvenser</w:t>
      </w:r>
      <w:r w:rsidR="00FA1702">
        <w:rPr>
          <w:rFonts w:ascii="Cambria" w:hAnsi="Cambria"/>
          <w:lang w:val="sv-SE"/>
        </w:rPr>
        <w:t xml:space="preserve"> undviks</w:t>
      </w:r>
      <w:r w:rsidR="006A7C28">
        <w:rPr>
          <w:rFonts w:ascii="Cambria" w:hAnsi="Cambria"/>
          <w:lang w:val="sv-SE"/>
        </w:rPr>
        <w:t>.</w:t>
      </w:r>
      <w:r w:rsidR="000365E1">
        <w:rPr>
          <w:rFonts w:ascii="Cambria" w:hAnsi="Cambria"/>
          <w:lang w:val="sv-SE"/>
        </w:rPr>
        <w:t xml:space="preserve"> </w:t>
      </w:r>
      <w:r w:rsidR="0008662C">
        <w:rPr>
          <w:rFonts w:ascii="Cambria" w:hAnsi="Cambria"/>
          <w:lang w:val="sv-SE"/>
        </w:rPr>
        <w:t>Att</w:t>
      </w:r>
      <w:r>
        <w:rPr>
          <w:rFonts w:ascii="Cambria" w:hAnsi="Cambria"/>
          <w:lang w:val="sv-SE"/>
        </w:rPr>
        <w:t xml:space="preserve"> ansvaret för sjukvården ligger på regionerna </w:t>
      </w:r>
      <w:r w:rsidR="0008662C">
        <w:rPr>
          <w:rFonts w:ascii="Cambria" w:hAnsi="Cambria"/>
          <w:lang w:val="sv-SE"/>
        </w:rPr>
        <w:t xml:space="preserve">är ett svagt argument för att snabbt gå till beslut utan motsvarande underlag och analyser. </w:t>
      </w:r>
      <w:r w:rsidR="00295420">
        <w:rPr>
          <w:rFonts w:ascii="Cambria" w:hAnsi="Cambria"/>
          <w:lang w:val="sv-SE"/>
        </w:rPr>
        <w:t xml:space="preserve">När </w:t>
      </w:r>
      <w:r w:rsidR="00295420" w:rsidRPr="005C7F60">
        <w:rPr>
          <w:rFonts w:ascii="Cambria" w:hAnsi="Cambria"/>
          <w:lang w:val="sv-SE"/>
        </w:rPr>
        <w:t xml:space="preserve">tongivande, samhällsviktiga beslut </w:t>
      </w:r>
      <w:r w:rsidR="00295420">
        <w:rPr>
          <w:rFonts w:ascii="Cambria" w:hAnsi="Cambria"/>
          <w:lang w:val="sv-SE"/>
        </w:rPr>
        <w:t xml:space="preserve">fattas </w:t>
      </w:r>
      <w:r w:rsidR="00295420" w:rsidRPr="005C7F60">
        <w:rPr>
          <w:rFonts w:ascii="Cambria" w:hAnsi="Cambria"/>
          <w:lang w:val="sv-SE"/>
        </w:rPr>
        <w:t xml:space="preserve">på så här lösa grunder riskerar </w:t>
      </w:r>
      <w:r w:rsidR="00295420">
        <w:rPr>
          <w:rFonts w:ascii="Cambria" w:hAnsi="Cambria"/>
          <w:lang w:val="sv-SE"/>
        </w:rPr>
        <w:t xml:space="preserve">det </w:t>
      </w:r>
      <w:r w:rsidR="00295420" w:rsidRPr="005C7F60">
        <w:rPr>
          <w:rFonts w:ascii="Cambria" w:hAnsi="Cambria"/>
          <w:lang w:val="sv-SE"/>
        </w:rPr>
        <w:t>att gå ut över det politiska förtroendet i samhället.</w:t>
      </w:r>
    </w:p>
    <w:p w14:paraId="4215AF91" w14:textId="77777777" w:rsidR="001670ED" w:rsidRDefault="001670ED" w:rsidP="009314C4">
      <w:pPr>
        <w:jc w:val="both"/>
        <w:rPr>
          <w:rFonts w:ascii="Cambria" w:hAnsi="Cambria"/>
          <w:lang w:val="sv-SE"/>
        </w:rPr>
      </w:pPr>
    </w:p>
    <w:p w14:paraId="08DFAEEB" w14:textId="60E7EE29" w:rsidR="00564F5F" w:rsidRPr="00CD11AE" w:rsidRDefault="001670ED" w:rsidP="00564F5F">
      <w:pPr>
        <w:jc w:val="both"/>
        <w:rPr>
          <w:rFonts w:ascii="Cambria" w:hAnsi="Cambria"/>
          <w:lang w:val="sv-SE"/>
        </w:rPr>
      </w:pPr>
      <w:r>
        <w:rPr>
          <w:rFonts w:ascii="Cambria" w:hAnsi="Cambria"/>
          <w:lang w:val="sv-SE"/>
        </w:rPr>
        <w:t xml:space="preserve">Vi rekommenderar därför </w:t>
      </w:r>
      <w:r w:rsidR="000E4E7B">
        <w:rPr>
          <w:rFonts w:ascii="Cambria" w:hAnsi="Cambria"/>
          <w:lang w:val="sv-SE"/>
        </w:rPr>
        <w:t xml:space="preserve">att </w:t>
      </w:r>
      <w:r w:rsidR="000365E1">
        <w:rPr>
          <w:rFonts w:ascii="Cambria" w:hAnsi="Cambria"/>
          <w:lang w:val="sv-SE"/>
        </w:rPr>
        <w:t>det politiska</w:t>
      </w:r>
      <w:r>
        <w:rPr>
          <w:rFonts w:ascii="Cambria" w:hAnsi="Cambria"/>
          <w:lang w:val="sv-SE"/>
        </w:rPr>
        <w:t xml:space="preserve"> styre</w:t>
      </w:r>
      <w:r w:rsidR="000365E1">
        <w:rPr>
          <w:rFonts w:ascii="Cambria" w:hAnsi="Cambria"/>
          <w:lang w:val="sv-SE"/>
        </w:rPr>
        <w:t xml:space="preserve">t i </w:t>
      </w:r>
      <w:r w:rsidR="002C72A6">
        <w:rPr>
          <w:rFonts w:ascii="Cambria" w:hAnsi="Cambria"/>
          <w:lang w:val="sv-SE"/>
        </w:rPr>
        <w:t>R</w:t>
      </w:r>
      <w:r w:rsidR="000365E1">
        <w:rPr>
          <w:rFonts w:ascii="Cambria" w:hAnsi="Cambria"/>
          <w:lang w:val="sv-SE"/>
        </w:rPr>
        <w:t>egion Stockholm</w:t>
      </w:r>
      <w:r>
        <w:rPr>
          <w:rFonts w:ascii="Cambria" w:hAnsi="Cambria"/>
          <w:lang w:val="sv-SE"/>
        </w:rPr>
        <w:t xml:space="preserve"> börja</w:t>
      </w:r>
      <w:r w:rsidR="00B22FEE">
        <w:rPr>
          <w:rFonts w:ascii="Cambria" w:hAnsi="Cambria"/>
          <w:lang w:val="sv-SE"/>
        </w:rPr>
        <w:t>r</w:t>
      </w:r>
      <w:r w:rsidR="000E4E7B">
        <w:rPr>
          <w:rFonts w:ascii="Cambria" w:hAnsi="Cambria"/>
          <w:lang w:val="sv-SE"/>
        </w:rPr>
        <w:t xml:space="preserve"> om</w:t>
      </w:r>
      <w:r>
        <w:rPr>
          <w:rFonts w:ascii="Cambria" w:hAnsi="Cambria"/>
          <w:lang w:val="sv-SE"/>
        </w:rPr>
        <w:t xml:space="preserve"> </w:t>
      </w:r>
      <w:r w:rsidR="009F3871">
        <w:rPr>
          <w:rFonts w:ascii="Cambria" w:hAnsi="Cambria"/>
          <w:lang w:val="sv-SE"/>
        </w:rPr>
        <w:t xml:space="preserve">processen genom att </w:t>
      </w:r>
      <w:r>
        <w:rPr>
          <w:rFonts w:ascii="Cambria" w:hAnsi="Cambria"/>
          <w:lang w:val="sv-SE"/>
        </w:rPr>
        <w:t>tillsätt</w:t>
      </w:r>
      <w:r w:rsidR="009F3871">
        <w:rPr>
          <w:rFonts w:ascii="Cambria" w:hAnsi="Cambria"/>
          <w:lang w:val="sv-SE"/>
        </w:rPr>
        <w:t>a</w:t>
      </w:r>
      <w:r>
        <w:rPr>
          <w:rFonts w:ascii="Cambria" w:hAnsi="Cambria"/>
          <w:lang w:val="sv-SE"/>
        </w:rPr>
        <w:t xml:space="preserve"> utredningar som får i uppdrag att studera </w:t>
      </w:r>
      <w:r w:rsidR="00715D94">
        <w:rPr>
          <w:rFonts w:ascii="Cambria" w:hAnsi="Cambria"/>
          <w:lang w:val="sv-SE"/>
        </w:rPr>
        <w:t xml:space="preserve">systemen i </w:t>
      </w:r>
      <w:r w:rsidR="009F3871">
        <w:rPr>
          <w:rFonts w:ascii="Cambria" w:hAnsi="Cambria"/>
          <w:lang w:val="sv-SE"/>
        </w:rPr>
        <w:t>sjukvården och bedöma om och hur de politiska målsättningarna kan uppnås med olika reformer. Utredningarnas analys</w:t>
      </w:r>
      <w:r w:rsidR="00273C4A">
        <w:rPr>
          <w:rFonts w:ascii="Cambria" w:hAnsi="Cambria"/>
          <w:lang w:val="sv-SE"/>
        </w:rPr>
        <w:t>er</w:t>
      </w:r>
      <w:r w:rsidR="009F3871">
        <w:rPr>
          <w:rFonts w:ascii="Cambria" w:hAnsi="Cambria"/>
          <w:lang w:val="sv-SE"/>
        </w:rPr>
        <w:t xml:space="preserve"> och slutsatser bör sedan offentliggöras </w:t>
      </w:r>
      <w:r w:rsidR="00273C4A">
        <w:rPr>
          <w:rFonts w:ascii="Cambria" w:hAnsi="Cambria"/>
          <w:lang w:val="sv-SE"/>
        </w:rPr>
        <w:t>för att stimulera ett faktabaserat politiskt samtal.</w:t>
      </w:r>
    </w:p>
    <w:p w14:paraId="43A415A8" w14:textId="77777777" w:rsidR="00564F5F" w:rsidRDefault="00564F5F" w:rsidP="009314C4">
      <w:pPr>
        <w:jc w:val="both"/>
        <w:rPr>
          <w:rFonts w:ascii="Cambria" w:hAnsi="Cambria"/>
          <w:lang w:val="sv-SE"/>
        </w:rPr>
      </w:pPr>
    </w:p>
    <w:p w14:paraId="172E125F" w14:textId="3DCBF99D" w:rsidR="004A4F38" w:rsidRPr="005A394A" w:rsidRDefault="00592485" w:rsidP="00592485">
      <w:pPr>
        <w:jc w:val="both"/>
        <w:rPr>
          <w:rFonts w:ascii="Cambria" w:hAnsi="Cambria"/>
          <w:lang w:val="sv-SE"/>
        </w:rPr>
      </w:pPr>
      <w:r>
        <w:rPr>
          <w:rFonts w:ascii="Cambria" w:hAnsi="Cambria"/>
          <w:lang w:val="sv-SE"/>
        </w:rPr>
        <w:br w:type="page"/>
      </w:r>
    </w:p>
    <w:p w14:paraId="133AFEDD" w14:textId="1051BAA8" w:rsidR="00C769A6" w:rsidRPr="005A394A" w:rsidRDefault="00F65F3F" w:rsidP="005D47D0">
      <w:pPr>
        <w:pStyle w:val="Rubrik1"/>
        <w:numPr>
          <w:ilvl w:val="0"/>
          <w:numId w:val="2"/>
        </w:numPr>
        <w:spacing w:before="0"/>
        <w:jc w:val="both"/>
        <w:rPr>
          <w:rFonts w:ascii="Cambria" w:hAnsi="Cambria"/>
          <w:sz w:val="24"/>
          <w:szCs w:val="24"/>
        </w:rPr>
      </w:pPr>
      <w:bookmarkStart w:id="2" w:name="_Toc164353518"/>
      <w:r>
        <w:rPr>
          <w:rFonts w:ascii="Cambria" w:hAnsi="Cambria"/>
          <w:sz w:val="24"/>
          <w:szCs w:val="24"/>
        </w:rPr>
        <w:lastRenderedPageBreak/>
        <w:t>Den</w:t>
      </w:r>
      <w:r w:rsidR="00684BDD">
        <w:rPr>
          <w:rFonts w:ascii="Cambria" w:hAnsi="Cambria"/>
          <w:sz w:val="24"/>
          <w:szCs w:val="24"/>
        </w:rPr>
        <w:t xml:space="preserve"> nya </w:t>
      </w:r>
      <w:r>
        <w:rPr>
          <w:rFonts w:ascii="Cambria" w:hAnsi="Cambria"/>
          <w:sz w:val="24"/>
          <w:szCs w:val="24"/>
        </w:rPr>
        <w:t xml:space="preserve">politiska </w:t>
      </w:r>
      <w:r w:rsidR="00684BDD">
        <w:rPr>
          <w:rFonts w:ascii="Cambria" w:hAnsi="Cambria"/>
          <w:sz w:val="24"/>
          <w:szCs w:val="24"/>
        </w:rPr>
        <w:t>inriktningen</w:t>
      </w:r>
      <w:bookmarkEnd w:id="2"/>
    </w:p>
    <w:p w14:paraId="2723AFDB" w14:textId="77777777" w:rsidR="000B71AF" w:rsidRDefault="000B71AF" w:rsidP="00C769A6">
      <w:pPr>
        <w:rPr>
          <w:rFonts w:ascii="Cambria" w:hAnsi="Cambria"/>
          <w:lang w:val="sv-SE"/>
        </w:rPr>
      </w:pPr>
    </w:p>
    <w:p w14:paraId="49659649" w14:textId="21A1A60E" w:rsidR="00662C55" w:rsidRDefault="000B71AF" w:rsidP="002B71DE">
      <w:pPr>
        <w:jc w:val="both"/>
        <w:rPr>
          <w:rFonts w:ascii="Cambria" w:hAnsi="Cambria"/>
          <w:lang w:val="sv-SE"/>
        </w:rPr>
      </w:pPr>
      <w:r>
        <w:rPr>
          <w:rFonts w:ascii="Cambria" w:hAnsi="Cambria"/>
          <w:lang w:val="sv-SE"/>
        </w:rPr>
        <w:t xml:space="preserve">I ett historiskt perspektiv är förekomsten av </w:t>
      </w:r>
      <w:r w:rsidR="00A945DC">
        <w:rPr>
          <w:rFonts w:ascii="Cambria" w:hAnsi="Cambria"/>
          <w:lang w:val="sv-SE"/>
        </w:rPr>
        <w:t xml:space="preserve">skattefinansierad </w:t>
      </w:r>
      <w:r>
        <w:rPr>
          <w:rFonts w:ascii="Cambria" w:hAnsi="Cambria"/>
          <w:lang w:val="sv-SE"/>
        </w:rPr>
        <w:t xml:space="preserve">privat vård ett relativt nytt fenomen i Sverige. </w:t>
      </w:r>
      <w:r w:rsidR="00E30E14">
        <w:rPr>
          <w:rFonts w:ascii="Cambria" w:hAnsi="Cambria"/>
          <w:lang w:val="sv-SE"/>
        </w:rPr>
        <w:t>Sedan läkarna helt övergick till statlig anställning på 1970-talet förblev</w:t>
      </w:r>
      <w:r w:rsidR="002B71DE">
        <w:rPr>
          <w:rFonts w:ascii="Cambria" w:hAnsi="Cambria"/>
          <w:lang w:val="sv-SE"/>
        </w:rPr>
        <w:t xml:space="preserve"> den privata vårdsektorn </w:t>
      </w:r>
      <w:r w:rsidR="0074069C">
        <w:rPr>
          <w:rFonts w:ascii="Cambria" w:hAnsi="Cambria"/>
          <w:lang w:val="sv-SE"/>
        </w:rPr>
        <w:t xml:space="preserve">ett randfenomen </w:t>
      </w:r>
      <w:r w:rsidR="00E30E14">
        <w:rPr>
          <w:rFonts w:ascii="Cambria" w:hAnsi="Cambria"/>
          <w:lang w:val="sv-SE"/>
        </w:rPr>
        <w:t xml:space="preserve">fram till 1990-talet </w:t>
      </w:r>
      <w:r w:rsidR="0074069C">
        <w:rPr>
          <w:rFonts w:ascii="Cambria" w:hAnsi="Cambria"/>
          <w:lang w:val="sv-SE"/>
        </w:rPr>
        <w:t>(se Mellgren 2002).</w:t>
      </w:r>
      <w:r w:rsidR="00016200">
        <w:rPr>
          <w:rFonts w:ascii="Cambria" w:hAnsi="Cambria"/>
          <w:lang w:val="sv-SE"/>
        </w:rPr>
        <w:t xml:space="preserve"> </w:t>
      </w:r>
      <w:r w:rsidR="00E34AD3">
        <w:rPr>
          <w:rFonts w:ascii="Cambria" w:hAnsi="Cambria"/>
          <w:lang w:val="sv-SE"/>
        </w:rPr>
        <w:t>Därefter</w:t>
      </w:r>
      <w:r w:rsidR="00016200">
        <w:rPr>
          <w:rFonts w:ascii="Cambria" w:hAnsi="Cambria"/>
          <w:lang w:val="sv-SE"/>
        </w:rPr>
        <w:t xml:space="preserve"> har </w:t>
      </w:r>
      <w:r w:rsidR="00E30E14">
        <w:rPr>
          <w:rFonts w:ascii="Cambria" w:hAnsi="Cambria"/>
          <w:lang w:val="sv-SE"/>
        </w:rPr>
        <w:t xml:space="preserve">privat </w:t>
      </w:r>
      <w:r w:rsidR="00016200">
        <w:rPr>
          <w:rFonts w:ascii="Cambria" w:hAnsi="Cambria"/>
          <w:lang w:val="sv-SE"/>
        </w:rPr>
        <w:t xml:space="preserve">vård vuxit rejält, framför allt inom primärvården (Blix och Jordahl 2021). Och ingen annanstans har tillväxten varit större än i Stockholm. </w:t>
      </w:r>
      <w:r w:rsidR="002B71DE">
        <w:rPr>
          <w:rFonts w:ascii="Cambria" w:hAnsi="Cambria"/>
          <w:lang w:val="sv-SE"/>
        </w:rPr>
        <w:t xml:space="preserve">Redan </w:t>
      </w:r>
      <w:r w:rsidR="00016200">
        <w:rPr>
          <w:rFonts w:ascii="Cambria" w:hAnsi="Cambria"/>
          <w:lang w:val="sv-SE"/>
        </w:rPr>
        <w:t>i slutet på</w:t>
      </w:r>
      <w:r w:rsidR="002B71DE">
        <w:rPr>
          <w:rFonts w:ascii="Cambria" w:hAnsi="Cambria"/>
          <w:lang w:val="sv-SE"/>
        </w:rPr>
        <w:t xml:space="preserve"> 1990-talet hade den privata vårdsektorn kommit att öka ”i betydligt större omfattning i Stockholms läns landsting än i övriga landsting” (SLL 2000, ss. 21–22), en trend som fortsatte under 00-talet.</w:t>
      </w:r>
    </w:p>
    <w:p w14:paraId="05782062" w14:textId="77777777" w:rsidR="00662C55" w:rsidRDefault="00662C55" w:rsidP="002B71DE">
      <w:pPr>
        <w:jc w:val="both"/>
        <w:rPr>
          <w:rFonts w:ascii="Cambria" w:hAnsi="Cambria"/>
          <w:lang w:val="sv-SE"/>
        </w:rPr>
      </w:pPr>
    </w:p>
    <w:p w14:paraId="653E1BA3" w14:textId="1F921F3A" w:rsidR="002B71DE" w:rsidRDefault="002B71DE" w:rsidP="002B71DE">
      <w:pPr>
        <w:jc w:val="both"/>
        <w:rPr>
          <w:rFonts w:ascii="Cambria" w:hAnsi="Cambria"/>
          <w:lang w:val="sv-SE"/>
        </w:rPr>
      </w:pPr>
      <w:r>
        <w:rPr>
          <w:rFonts w:ascii="Cambria" w:hAnsi="Cambria"/>
          <w:lang w:val="sv-SE"/>
        </w:rPr>
        <w:t>År 2008 infördes</w:t>
      </w:r>
      <w:r w:rsidR="00F35A99">
        <w:rPr>
          <w:rFonts w:ascii="Cambria" w:hAnsi="Cambria"/>
          <w:lang w:val="sv-SE"/>
        </w:rPr>
        <w:t xml:space="preserve"> så</w:t>
      </w:r>
      <w:r>
        <w:rPr>
          <w:rFonts w:ascii="Cambria" w:hAnsi="Cambria"/>
          <w:lang w:val="sv-SE"/>
        </w:rPr>
        <w:t xml:space="preserve"> fritt vårdval i </w:t>
      </w:r>
      <w:r w:rsidR="00F35A99">
        <w:rPr>
          <w:rFonts w:ascii="Cambria" w:hAnsi="Cambria"/>
          <w:lang w:val="sv-SE"/>
        </w:rPr>
        <w:t xml:space="preserve">Stockholms </w:t>
      </w:r>
      <w:r>
        <w:rPr>
          <w:rFonts w:ascii="Cambria" w:hAnsi="Cambria"/>
          <w:lang w:val="sv-SE"/>
        </w:rPr>
        <w:t xml:space="preserve">primärvård – ett år före Lagen om Valfrihetssystemet (LOV) drevs igenom på nationell nivå – vilket gav patienter rätten att välja vårdgivare och privata vårdgivare rätten att etablera sig var de vill, så länge de uppfyller regionens kriterier (Rehnberg </w:t>
      </w:r>
      <w:proofErr w:type="gramStart"/>
      <w:r>
        <w:rPr>
          <w:rFonts w:ascii="Cambria" w:hAnsi="Cambria"/>
          <w:lang w:val="sv-SE"/>
        </w:rPr>
        <w:t>m.fl.</w:t>
      </w:r>
      <w:proofErr w:type="gramEnd"/>
      <w:r>
        <w:rPr>
          <w:rFonts w:ascii="Cambria" w:hAnsi="Cambria"/>
          <w:lang w:val="sv-SE"/>
        </w:rPr>
        <w:t xml:space="preserve"> 2008). Vårdvalet i Stockholm har sedan dess också lett vägen mot en mer konkurrensutsatt primärvårdssektor</w:t>
      </w:r>
      <w:r w:rsidR="00016200">
        <w:rPr>
          <w:rFonts w:ascii="Cambria" w:hAnsi="Cambria"/>
          <w:lang w:val="sv-SE"/>
        </w:rPr>
        <w:t xml:space="preserve"> med fler privata alternativ</w:t>
      </w:r>
      <w:r>
        <w:rPr>
          <w:rFonts w:ascii="Cambria" w:hAnsi="Cambria"/>
          <w:lang w:val="sv-SE"/>
        </w:rPr>
        <w:t>. År 2022 drevs exempelvis hela 71 procent av region Stockholms vårdcentraler i privat regi, att jämföra med 40 procent i övriga regioner (SKR 2024a).</w:t>
      </w:r>
    </w:p>
    <w:p w14:paraId="1AB715E8" w14:textId="77777777" w:rsidR="002B71DE" w:rsidRDefault="002B71DE" w:rsidP="002B71DE">
      <w:pPr>
        <w:jc w:val="both"/>
        <w:rPr>
          <w:rFonts w:ascii="Cambria" w:hAnsi="Cambria"/>
          <w:lang w:val="sv-SE"/>
        </w:rPr>
      </w:pPr>
    </w:p>
    <w:p w14:paraId="05385AB8" w14:textId="7907B3C4" w:rsidR="00016200" w:rsidRDefault="002B71DE" w:rsidP="002B71DE">
      <w:pPr>
        <w:jc w:val="both"/>
        <w:rPr>
          <w:rFonts w:ascii="Cambria" w:hAnsi="Cambria"/>
          <w:lang w:val="sv-SE"/>
        </w:rPr>
      </w:pPr>
      <w:r>
        <w:rPr>
          <w:rFonts w:ascii="Cambria" w:hAnsi="Cambria"/>
          <w:lang w:val="sv-SE"/>
        </w:rPr>
        <w:t xml:space="preserve">Medan LOV garanterade fritt primärvårdval nationellt har det varit upp till regionerna att bestämma hur systemet ska se ut inom specialistvården. Och </w:t>
      </w:r>
      <w:r w:rsidR="00016200">
        <w:rPr>
          <w:rFonts w:ascii="Cambria" w:hAnsi="Cambria"/>
          <w:lang w:val="sv-SE"/>
        </w:rPr>
        <w:t xml:space="preserve">även </w:t>
      </w:r>
      <w:r w:rsidR="003643D7">
        <w:rPr>
          <w:rFonts w:ascii="Cambria" w:hAnsi="Cambria"/>
          <w:lang w:val="sv-SE"/>
        </w:rPr>
        <w:t xml:space="preserve">här </w:t>
      </w:r>
      <w:r w:rsidR="00016200">
        <w:rPr>
          <w:rFonts w:ascii="Cambria" w:hAnsi="Cambria"/>
          <w:lang w:val="sv-SE"/>
        </w:rPr>
        <w:t>har</w:t>
      </w:r>
      <w:r>
        <w:rPr>
          <w:rFonts w:ascii="Cambria" w:hAnsi="Cambria"/>
          <w:lang w:val="sv-SE"/>
        </w:rPr>
        <w:t xml:space="preserve"> </w:t>
      </w:r>
      <w:r w:rsidR="009A18B5">
        <w:rPr>
          <w:rFonts w:ascii="Cambria" w:hAnsi="Cambria"/>
          <w:lang w:val="sv-SE"/>
        </w:rPr>
        <w:t>R</w:t>
      </w:r>
      <w:r>
        <w:rPr>
          <w:rFonts w:ascii="Cambria" w:hAnsi="Cambria"/>
          <w:lang w:val="sv-SE"/>
        </w:rPr>
        <w:t>egion Stockholm gått före resten av landet. Vårdvalen inom specialistvården har till stor del varit koncentrerade till Stockholmsområdet; år 2023 återfanns 57 procent av alla landets specialistvårdval</w:t>
      </w:r>
      <w:r w:rsidR="00BE0E2D">
        <w:rPr>
          <w:rFonts w:ascii="Cambria" w:hAnsi="Cambria"/>
          <w:lang w:val="sv-SE"/>
        </w:rPr>
        <w:t xml:space="preserve"> inom somatisk och psykiatrisk vård</w:t>
      </w:r>
      <w:r>
        <w:rPr>
          <w:rFonts w:ascii="Cambria" w:hAnsi="Cambria"/>
          <w:lang w:val="sv-SE"/>
        </w:rPr>
        <w:t xml:space="preserve"> i region Stockholm (SKR 2024b).</w:t>
      </w:r>
      <w:r w:rsidR="00016200">
        <w:rPr>
          <w:rFonts w:ascii="Cambria" w:hAnsi="Cambria"/>
          <w:lang w:val="sv-SE"/>
        </w:rPr>
        <w:t xml:space="preserve"> </w:t>
      </w:r>
      <w:r w:rsidR="003643D7">
        <w:rPr>
          <w:rFonts w:ascii="Cambria" w:hAnsi="Cambria"/>
          <w:lang w:val="sv-SE"/>
        </w:rPr>
        <w:t>R</w:t>
      </w:r>
      <w:r>
        <w:rPr>
          <w:rFonts w:ascii="Cambria" w:hAnsi="Cambria"/>
          <w:lang w:val="sv-SE"/>
        </w:rPr>
        <w:t xml:space="preserve">egion Stockholm </w:t>
      </w:r>
      <w:r w:rsidR="003643D7">
        <w:rPr>
          <w:rFonts w:ascii="Cambria" w:hAnsi="Cambria"/>
          <w:lang w:val="sv-SE"/>
        </w:rPr>
        <w:t xml:space="preserve">har </w:t>
      </w:r>
      <w:r>
        <w:rPr>
          <w:rFonts w:ascii="Cambria" w:hAnsi="Cambria"/>
          <w:lang w:val="sv-SE"/>
        </w:rPr>
        <w:t>alltså legat i framkant vad gäller möjligheterna att bedriva och välja vård i privat regi</w:t>
      </w:r>
      <w:r w:rsidR="00824104">
        <w:rPr>
          <w:rFonts w:ascii="Cambria" w:hAnsi="Cambria"/>
          <w:lang w:val="sv-SE"/>
        </w:rPr>
        <w:t>.</w:t>
      </w:r>
    </w:p>
    <w:p w14:paraId="4D61CCDD" w14:textId="77777777" w:rsidR="00016200" w:rsidRDefault="00016200" w:rsidP="002B71DE">
      <w:pPr>
        <w:jc w:val="both"/>
        <w:rPr>
          <w:rFonts w:ascii="Cambria" w:hAnsi="Cambria"/>
          <w:lang w:val="sv-SE"/>
        </w:rPr>
      </w:pPr>
    </w:p>
    <w:p w14:paraId="790A38D5" w14:textId="566F403E" w:rsidR="004335A2" w:rsidRDefault="00E34AD3" w:rsidP="002B71DE">
      <w:pPr>
        <w:jc w:val="both"/>
        <w:rPr>
          <w:rFonts w:ascii="Cambria" w:hAnsi="Cambria"/>
          <w:lang w:val="sv-SE"/>
        </w:rPr>
      </w:pPr>
      <w:r>
        <w:rPr>
          <w:rFonts w:ascii="Cambria" w:hAnsi="Cambria"/>
          <w:lang w:val="sv-SE"/>
        </w:rPr>
        <w:t>S</w:t>
      </w:r>
      <w:r w:rsidR="002B71DE">
        <w:rPr>
          <w:rFonts w:ascii="Cambria" w:hAnsi="Cambria"/>
          <w:lang w:val="sv-SE"/>
        </w:rPr>
        <w:t xml:space="preserve">edan valet 2022 har </w:t>
      </w:r>
      <w:r w:rsidR="00016200">
        <w:rPr>
          <w:rFonts w:ascii="Cambria" w:hAnsi="Cambria"/>
          <w:lang w:val="sv-SE"/>
        </w:rPr>
        <w:t xml:space="preserve">politiken </w:t>
      </w:r>
      <w:r>
        <w:rPr>
          <w:rFonts w:ascii="Cambria" w:hAnsi="Cambria"/>
          <w:lang w:val="sv-SE"/>
        </w:rPr>
        <w:t xml:space="preserve">dock </w:t>
      </w:r>
      <w:r w:rsidR="00016200">
        <w:rPr>
          <w:rFonts w:ascii="Cambria" w:hAnsi="Cambria"/>
          <w:lang w:val="sv-SE"/>
        </w:rPr>
        <w:t xml:space="preserve">gått i </w:t>
      </w:r>
      <w:r w:rsidR="007E551C">
        <w:rPr>
          <w:rFonts w:ascii="Cambria" w:hAnsi="Cambria"/>
          <w:lang w:val="sv-SE"/>
        </w:rPr>
        <w:t>motsatt</w:t>
      </w:r>
      <w:r w:rsidR="00016200">
        <w:rPr>
          <w:rFonts w:ascii="Cambria" w:hAnsi="Cambria"/>
          <w:lang w:val="sv-SE"/>
        </w:rPr>
        <w:t xml:space="preserve"> riktning</w:t>
      </w:r>
      <w:r w:rsidR="002B71DE">
        <w:rPr>
          <w:rFonts w:ascii="Cambria" w:hAnsi="Cambria"/>
          <w:lang w:val="sv-SE"/>
        </w:rPr>
        <w:t xml:space="preserve">. </w:t>
      </w:r>
      <w:r w:rsidR="004335A2">
        <w:rPr>
          <w:rFonts w:ascii="Cambria" w:hAnsi="Cambria"/>
          <w:lang w:val="sv-SE"/>
        </w:rPr>
        <w:t xml:space="preserve">Socialdemokraterna </w:t>
      </w:r>
      <w:r w:rsidR="007E551C">
        <w:rPr>
          <w:rFonts w:ascii="Cambria" w:hAnsi="Cambria"/>
          <w:lang w:val="sv-SE"/>
        </w:rPr>
        <w:t xml:space="preserve">i Region Stockholm gick </w:t>
      </w:r>
      <w:r w:rsidR="004335A2">
        <w:rPr>
          <w:rFonts w:ascii="Cambria" w:hAnsi="Cambria"/>
          <w:lang w:val="sv-SE"/>
        </w:rPr>
        <w:t>till val på att ”ta tillbaka den demokratiska kontrollen över sjukvården” (</w:t>
      </w:r>
      <w:proofErr w:type="spellStart"/>
      <w:r w:rsidRPr="00E34AD3">
        <w:rPr>
          <w:rFonts w:ascii="Cambria" w:hAnsi="Cambria"/>
          <w:lang w:val="sv-SE"/>
        </w:rPr>
        <w:t>Hadžialić</w:t>
      </w:r>
      <w:proofErr w:type="spellEnd"/>
      <w:r w:rsidR="009E4A8A">
        <w:rPr>
          <w:rFonts w:ascii="Cambria" w:hAnsi="Cambria"/>
          <w:lang w:val="sv-SE"/>
        </w:rPr>
        <w:t xml:space="preserve"> 2022</w:t>
      </w:r>
      <w:r w:rsidR="004335A2">
        <w:rPr>
          <w:rFonts w:ascii="Cambria" w:hAnsi="Cambria"/>
          <w:lang w:val="sv-SE"/>
        </w:rPr>
        <w:t>), en linje som rimmade väl med partiets inriktning i den nationella valkampanjen (</w:t>
      </w:r>
      <w:r w:rsidR="00502D5C">
        <w:rPr>
          <w:rFonts w:ascii="Cambria" w:hAnsi="Cambria"/>
          <w:lang w:val="sv-SE"/>
        </w:rPr>
        <w:t>Socialdemokraterna 2022).</w:t>
      </w:r>
      <w:r w:rsidR="006D7E56">
        <w:rPr>
          <w:rFonts w:ascii="Cambria" w:hAnsi="Cambria"/>
          <w:lang w:val="sv-SE"/>
        </w:rPr>
        <w:t xml:space="preserve"> </w:t>
      </w:r>
      <w:r w:rsidR="000F5F56">
        <w:rPr>
          <w:rFonts w:ascii="Cambria" w:hAnsi="Cambria"/>
          <w:lang w:val="sv-SE"/>
        </w:rPr>
        <w:t xml:space="preserve">Efter att den nya rödgröna koalitionen (tillsammans med Vänsterpartiet som stödparti) vann makten påbörjades arbetet med </w:t>
      </w:r>
      <w:r>
        <w:rPr>
          <w:rFonts w:ascii="Cambria" w:hAnsi="Cambria"/>
          <w:lang w:val="sv-SE"/>
        </w:rPr>
        <w:t xml:space="preserve">en omställningsplan för sjukvården </w:t>
      </w:r>
      <w:r w:rsidR="000F5F56">
        <w:rPr>
          <w:rFonts w:ascii="Cambria" w:hAnsi="Cambria"/>
          <w:lang w:val="sv-SE"/>
        </w:rPr>
        <w:t>under våren 2023.</w:t>
      </w:r>
      <w:r w:rsidR="002E3217">
        <w:rPr>
          <w:rFonts w:ascii="Cambria" w:hAnsi="Cambria"/>
          <w:lang w:val="sv-SE"/>
        </w:rPr>
        <w:t xml:space="preserve"> </w:t>
      </w:r>
    </w:p>
    <w:p w14:paraId="17C8A68F" w14:textId="77777777" w:rsidR="000F5F56" w:rsidRDefault="000F5F56" w:rsidP="002B71DE">
      <w:pPr>
        <w:jc w:val="both"/>
        <w:rPr>
          <w:rFonts w:ascii="Cambria" w:hAnsi="Cambria"/>
          <w:lang w:val="sv-SE"/>
        </w:rPr>
      </w:pPr>
    </w:p>
    <w:p w14:paraId="4967A804" w14:textId="51A95712" w:rsidR="00301763" w:rsidRDefault="008A591B" w:rsidP="002B71DE">
      <w:pPr>
        <w:jc w:val="both"/>
        <w:rPr>
          <w:rFonts w:ascii="Cambria" w:hAnsi="Cambria"/>
          <w:lang w:val="sv-SE"/>
        </w:rPr>
      </w:pPr>
      <w:r>
        <w:rPr>
          <w:rFonts w:ascii="Cambria" w:hAnsi="Cambria"/>
          <w:lang w:val="sv-SE"/>
        </w:rPr>
        <w:t xml:space="preserve">Två </w:t>
      </w:r>
      <w:r w:rsidR="007E1D94">
        <w:rPr>
          <w:rFonts w:ascii="Cambria" w:hAnsi="Cambria"/>
          <w:lang w:val="sv-SE"/>
        </w:rPr>
        <w:t>stor</w:t>
      </w:r>
      <w:r>
        <w:rPr>
          <w:rFonts w:ascii="Cambria" w:hAnsi="Cambria"/>
          <w:lang w:val="sv-SE"/>
        </w:rPr>
        <w:t>a</w:t>
      </w:r>
      <w:r w:rsidR="007E1D94">
        <w:rPr>
          <w:rFonts w:ascii="Cambria" w:hAnsi="Cambria"/>
          <w:lang w:val="sv-SE"/>
        </w:rPr>
        <w:t xml:space="preserve"> förändring</w:t>
      </w:r>
      <w:r>
        <w:rPr>
          <w:rFonts w:ascii="Cambria" w:hAnsi="Cambria"/>
          <w:lang w:val="sv-SE"/>
        </w:rPr>
        <w:t>ar</w:t>
      </w:r>
      <w:r w:rsidR="007E1D94">
        <w:rPr>
          <w:rFonts w:ascii="Cambria" w:hAnsi="Cambria"/>
          <w:lang w:val="sv-SE"/>
        </w:rPr>
        <w:t xml:space="preserve"> </w:t>
      </w:r>
      <w:r>
        <w:rPr>
          <w:rFonts w:ascii="Cambria" w:hAnsi="Cambria"/>
          <w:lang w:val="sv-SE"/>
        </w:rPr>
        <w:t xml:space="preserve">är att majoriteten har </w:t>
      </w:r>
      <w:r w:rsidR="007E1D94">
        <w:rPr>
          <w:rFonts w:ascii="Cambria" w:hAnsi="Cambria"/>
          <w:lang w:val="sv-SE"/>
        </w:rPr>
        <w:t xml:space="preserve">beslutat att </w:t>
      </w:r>
      <w:proofErr w:type="spellStart"/>
      <w:r w:rsidR="000F5F56">
        <w:rPr>
          <w:rFonts w:ascii="Cambria" w:hAnsi="Cambria"/>
          <w:lang w:val="sv-SE"/>
        </w:rPr>
        <w:t>vägbur</w:t>
      </w:r>
      <w:r w:rsidR="00572316">
        <w:rPr>
          <w:rFonts w:ascii="Cambria" w:hAnsi="Cambria"/>
          <w:lang w:val="sv-SE"/>
        </w:rPr>
        <w:t>en</w:t>
      </w:r>
      <w:proofErr w:type="spellEnd"/>
      <w:r w:rsidR="000F5F56">
        <w:rPr>
          <w:rFonts w:ascii="Cambria" w:hAnsi="Cambria"/>
          <w:lang w:val="sv-SE"/>
        </w:rPr>
        <w:t xml:space="preserve"> ambulansvården</w:t>
      </w:r>
      <w:r w:rsidR="0052678C">
        <w:rPr>
          <w:rFonts w:ascii="Cambria" w:hAnsi="Cambria"/>
          <w:lang w:val="sv-SE"/>
        </w:rPr>
        <w:t xml:space="preserve"> och</w:t>
      </w:r>
      <w:r w:rsidR="00301763">
        <w:rPr>
          <w:rFonts w:ascii="Cambria" w:hAnsi="Cambria"/>
          <w:lang w:val="sv-SE"/>
        </w:rPr>
        <w:t xml:space="preserve"> </w:t>
      </w:r>
      <w:r w:rsidR="008369FA">
        <w:rPr>
          <w:rFonts w:ascii="Cambria" w:hAnsi="Cambria"/>
          <w:lang w:val="sv-SE"/>
        </w:rPr>
        <w:t>prehospital</w:t>
      </w:r>
      <w:r w:rsidR="00301763">
        <w:rPr>
          <w:rFonts w:ascii="Cambria" w:hAnsi="Cambria"/>
          <w:lang w:val="sv-SE"/>
        </w:rPr>
        <w:t xml:space="preserve"> </w:t>
      </w:r>
      <w:r w:rsidR="008369FA">
        <w:rPr>
          <w:rFonts w:ascii="Cambria" w:hAnsi="Cambria"/>
          <w:lang w:val="sv-SE"/>
        </w:rPr>
        <w:t>läkartjänst</w:t>
      </w:r>
      <w:r w:rsidR="007E1D94">
        <w:rPr>
          <w:rFonts w:ascii="Cambria" w:hAnsi="Cambria"/>
          <w:lang w:val="sv-SE"/>
        </w:rPr>
        <w:t xml:space="preserve"> </w:t>
      </w:r>
      <w:r w:rsidR="00E66F67">
        <w:rPr>
          <w:rFonts w:ascii="Cambria" w:hAnsi="Cambria"/>
          <w:lang w:val="sv-SE"/>
        </w:rPr>
        <w:t>ska föras</w:t>
      </w:r>
      <w:r w:rsidR="007E1D94">
        <w:rPr>
          <w:rFonts w:ascii="Cambria" w:hAnsi="Cambria"/>
          <w:lang w:val="sv-SE"/>
        </w:rPr>
        <w:t xml:space="preserve"> över</w:t>
      </w:r>
      <w:r w:rsidR="008369FA">
        <w:rPr>
          <w:rFonts w:ascii="Cambria" w:hAnsi="Cambria"/>
          <w:lang w:val="sv-SE"/>
        </w:rPr>
        <w:t xml:space="preserve"> </w:t>
      </w:r>
      <w:r w:rsidR="000F5F56">
        <w:rPr>
          <w:rFonts w:ascii="Cambria" w:hAnsi="Cambria"/>
          <w:lang w:val="sv-SE"/>
        </w:rPr>
        <w:t>i egen regi</w:t>
      </w:r>
      <w:r w:rsidR="00301763">
        <w:rPr>
          <w:rFonts w:ascii="Cambria" w:hAnsi="Cambria"/>
          <w:lang w:val="sv-SE"/>
        </w:rPr>
        <w:t xml:space="preserve"> (</w:t>
      </w:r>
      <w:r w:rsidR="00301763" w:rsidRPr="008E08D9">
        <w:rPr>
          <w:rFonts w:ascii="Cambria" w:hAnsi="Cambria"/>
          <w:lang w:val="sv-SE"/>
        </w:rPr>
        <w:t xml:space="preserve">HSN </w:t>
      </w:r>
      <w:proofErr w:type="gramStart"/>
      <w:r w:rsidR="00301763" w:rsidRPr="008E08D9">
        <w:rPr>
          <w:rFonts w:ascii="Cambria" w:hAnsi="Cambria"/>
          <w:lang w:val="sv-SE"/>
        </w:rPr>
        <w:t>2023-0665</w:t>
      </w:r>
      <w:proofErr w:type="gramEnd"/>
      <w:r w:rsidR="00301763">
        <w:rPr>
          <w:rFonts w:ascii="Cambria" w:hAnsi="Cambria"/>
          <w:lang w:val="sv-SE"/>
        </w:rPr>
        <w:t xml:space="preserve">; HSN </w:t>
      </w:r>
      <w:r w:rsidR="00301763" w:rsidRPr="007E1D94">
        <w:rPr>
          <w:rFonts w:ascii="Cambria" w:hAnsi="Cambria"/>
          <w:lang w:val="sv-SE"/>
        </w:rPr>
        <w:t>2023-0225</w:t>
      </w:r>
      <w:r w:rsidR="00301763">
        <w:rPr>
          <w:rFonts w:ascii="Cambria" w:hAnsi="Cambria"/>
          <w:lang w:val="sv-SE"/>
        </w:rPr>
        <w:t xml:space="preserve">), </w:t>
      </w:r>
      <w:r w:rsidR="0022195C">
        <w:rPr>
          <w:rFonts w:ascii="Cambria" w:hAnsi="Cambria"/>
          <w:lang w:val="sv-SE"/>
        </w:rPr>
        <w:t xml:space="preserve">en process som </w:t>
      </w:r>
      <w:r w:rsidR="00301763">
        <w:rPr>
          <w:rFonts w:ascii="Cambria" w:hAnsi="Cambria"/>
          <w:lang w:val="sv-SE"/>
        </w:rPr>
        <w:t xml:space="preserve">nu </w:t>
      </w:r>
      <w:r w:rsidR="0022195C">
        <w:rPr>
          <w:rFonts w:ascii="Cambria" w:hAnsi="Cambria"/>
          <w:lang w:val="sv-SE"/>
        </w:rPr>
        <w:t xml:space="preserve">har påbörjats. Detta är en </w:t>
      </w:r>
      <w:r>
        <w:rPr>
          <w:rFonts w:ascii="Cambria" w:hAnsi="Cambria"/>
          <w:lang w:val="sv-SE"/>
        </w:rPr>
        <w:t xml:space="preserve">väsentlig </w:t>
      </w:r>
      <w:r w:rsidR="0022195C">
        <w:rPr>
          <w:rFonts w:ascii="Cambria" w:hAnsi="Cambria"/>
          <w:lang w:val="sv-SE"/>
        </w:rPr>
        <w:t xml:space="preserve">förändring då en stor del av ambulansvården </w:t>
      </w:r>
      <w:r w:rsidR="00301763">
        <w:rPr>
          <w:rFonts w:ascii="Cambria" w:hAnsi="Cambria"/>
          <w:lang w:val="sv-SE"/>
        </w:rPr>
        <w:t>har drivits av</w:t>
      </w:r>
      <w:r w:rsidR="0022195C">
        <w:rPr>
          <w:rFonts w:ascii="Cambria" w:hAnsi="Cambria"/>
          <w:lang w:val="sv-SE"/>
        </w:rPr>
        <w:t xml:space="preserve"> privata aktörer </w:t>
      </w:r>
      <w:r w:rsidR="00301763">
        <w:rPr>
          <w:rFonts w:ascii="Cambria" w:hAnsi="Cambria"/>
          <w:lang w:val="sv-SE"/>
        </w:rPr>
        <w:t xml:space="preserve">efter upphandling </w:t>
      </w:r>
      <w:r w:rsidR="0022195C">
        <w:rPr>
          <w:rFonts w:ascii="Cambria" w:hAnsi="Cambria"/>
          <w:lang w:val="sv-SE"/>
        </w:rPr>
        <w:t>sedan tidigt 1990-tal.</w:t>
      </w:r>
      <w:r w:rsidR="00301763">
        <w:rPr>
          <w:rFonts w:ascii="Cambria" w:hAnsi="Cambria"/>
          <w:lang w:val="sv-SE"/>
        </w:rPr>
        <w:t xml:space="preserve"> Skälen som anges är att man anser att en situation med privata aktörer genererar samordningsproblem och inte är tillräckligt flexibel. Detta speciellt med tanke på </w:t>
      </w:r>
      <w:r w:rsidR="0052678C">
        <w:rPr>
          <w:rFonts w:ascii="Cambria" w:hAnsi="Cambria"/>
          <w:lang w:val="sv-SE"/>
        </w:rPr>
        <w:t>”</w:t>
      </w:r>
      <w:r w:rsidR="00301763">
        <w:rPr>
          <w:rFonts w:ascii="Cambria" w:hAnsi="Cambria"/>
          <w:lang w:val="sv-SE"/>
        </w:rPr>
        <w:t>ett förändrat omvärldsläge</w:t>
      </w:r>
      <w:r w:rsidR="0052678C">
        <w:rPr>
          <w:rFonts w:ascii="Cambria" w:hAnsi="Cambria"/>
          <w:lang w:val="sv-SE"/>
        </w:rPr>
        <w:t>”</w:t>
      </w:r>
      <w:r w:rsidR="007C23E7">
        <w:rPr>
          <w:rFonts w:ascii="Cambria" w:hAnsi="Cambria"/>
          <w:lang w:val="sv-SE"/>
        </w:rPr>
        <w:t xml:space="preserve"> och Sveriges Nato-medlemskap</w:t>
      </w:r>
      <w:r w:rsidR="0052678C">
        <w:rPr>
          <w:rFonts w:ascii="Cambria" w:hAnsi="Cambria"/>
          <w:lang w:val="sv-SE"/>
        </w:rPr>
        <w:t>, vilket man menar gör att ambulansvården inte lämpar sig för upphandling</w:t>
      </w:r>
      <w:r w:rsidR="007C23E7">
        <w:rPr>
          <w:rFonts w:ascii="Cambria" w:hAnsi="Cambria"/>
          <w:lang w:val="sv-SE"/>
        </w:rPr>
        <w:t xml:space="preserve">. Man hoppas också </w:t>
      </w:r>
      <w:r w:rsidR="00283098">
        <w:rPr>
          <w:rFonts w:ascii="Cambria" w:hAnsi="Cambria"/>
          <w:lang w:val="sv-SE"/>
        </w:rPr>
        <w:t xml:space="preserve">sänka kostnaderna genom att </w:t>
      </w:r>
      <w:r w:rsidR="007C23E7">
        <w:rPr>
          <w:rFonts w:ascii="Cambria" w:hAnsi="Cambria"/>
          <w:lang w:val="sv-SE"/>
        </w:rPr>
        <w:t>uppnå skalfördelar</w:t>
      </w:r>
      <w:r w:rsidR="0052678C">
        <w:rPr>
          <w:rFonts w:ascii="Cambria" w:hAnsi="Cambria"/>
          <w:lang w:val="sv-SE"/>
        </w:rPr>
        <w:t xml:space="preserve"> (</w:t>
      </w:r>
      <w:r w:rsidR="0052678C" w:rsidRPr="008E08D9">
        <w:rPr>
          <w:rFonts w:ascii="Cambria" w:hAnsi="Cambria"/>
          <w:lang w:val="sv-SE"/>
        </w:rPr>
        <w:t xml:space="preserve">HSN </w:t>
      </w:r>
      <w:proofErr w:type="gramStart"/>
      <w:r w:rsidR="0052678C" w:rsidRPr="008E08D9">
        <w:rPr>
          <w:rFonts w:ascii="Cambria" w:hAnsi="Cambria"/>
          <w:lang w:val="sv-SE"/>
        </w:rPr>
        <w:t>2023-0665</w:t>
      </w:r>
      <w:proofErr w:type="gramEnd"/>
      <w:r w:rsidR="0052678C">
        <w:rPr>
          <w:rFonts w:ascii="Cambria" w:hAnsi="Cambria"/>
          <w:lang w:val="sv-SE"/>
        </w:rPr>
        <w:t>).</w:t>
      </w:r>
    </w:p>
    <w:p w14:paraId="6FC27A8E" w14:textId="77777777" w:rsidR="00301763" w:rsidRDefault="00301763" w:rsidP="002B71DE">
      <w:pPr>
        <w:jc w:val="both"/>
        <w:rPr>
          <w:rFonts w:ascii="Cambria" w:hAnsi="Cambria"/>
          <w:lang w:val="sv-SE"/>
        </w:rPr>
      </w:pPr>
    </w:p>
    <w:p w14:paraId="324D6594" w14:textId="6E90EEA5" w:rsidR="000F5F56" w:rsidRDefault="00CB6A52" w:rsidP="002B71DE">
      <w:pPr>
        <w:jc w:val="both"/>
        <w:rPr>
          <w:rFonts w:ascii="Cambria" w:hAnsi="Cambria"/>
          <w:lang w:val="sv-SE"/>
        </w:rPr>
      </w:pPr>
      <w:r>
        <w:rPr>
          <w:rFonts w:ascii="Cambria" w:hAnsi="Cambria"/>
          <w:lang w:val="sv-SE"/>
        </w:rPr>
        <w:t>Ytterligare ett område som</w:t>
      </w:r>
      <w:r w:rsidR="00301763">
        <w:rPr>
          <w:rFonts w:ascii="Cambria" w:hAnsi="Cambria"/>
          <w:lang w:val="sv-SE"/>
        </w:rPr>
        <w:t xml:space="preserve"> </w:t>
      </w:r>
      <w:r w:rsidR="00283098">
        <w:rPr>
          <w:rFonts w:ascii="Cambria" w:hAnsi="Cambria"/>
          <w:lang w:val="sv-SE"/>
        </w:rPr>
        <w:t xml:space="preserve">Stockholms politiska majoritet </w:t>
      </w:r>
      <w:r>
        <w:rPr>
          <w:rFonts w:ascii="Cambria" w:hAnsi="Cambria"/>
          <w:lang w:val="sv-SE"/>
        </w:rPr>
        <w:t>planerar att socialisera är</w:t>
      </w:r>
      <w:r w:rsidR="00301763" w:rsidRPr="00301763">
        <w:rPr>
          <w:rFonts w:ascii="Cambria" w:hAnsi="Cambria"/>
          <w:lang w:val="sv-SE"/>
        </w:rPr>
        <w:t xml:space="preserve"> sjukvårdsrådgivningen 1177</w:t>
      </w:r>
      <w:r>
        <w:rPr>
          <w:rFonts w:ascii="Cambria" w:hAnsi="Cambria"/>
          <w:lang w:val="sv-SE"/>
        </w:rPr>
        <w:t xml:space="preserve"> Vårdguiden</w:t>
      </w:r>
      <w:r w:rsidR="0073675E">
        <w:rPr>
          <w:rFonts w:ascii="Cambria" w:hAnsi="Cambria"/>
          <w:lang w:val="sv-SE"/>
        </w:rPr>
        <w:t xml:space="preserve"> (</w:t>
      </w:r>
      <w:r w:rsidR="0073675E" w:rsidRPr="0073675E">
        <w:rPr>
          <w:rFonts w:ascii="Cambria" w:hAnsi="Cambria"/>
          <w:lang w:val="sv-SE"/>
        </w:rPr>
        <w:t xml:space="preserve">PVN </w:t>
      </w:r>
      <w:proofErr w:type="gramStart"/>
      <w:r w:rsidR="0073675E" w:rsidRPr="0073675E">
        <w:rPr>
          <w:rFonts w:ascii="Cambria" w:hAnsi="Cambria"/>
          <w:lang w:val="sv-SE"/>
        </w:rPr>
        <w:t>2023-0014</w:t>
      </w:r>
      <w:proofErr w:type="gramEnd"/>
      <w:r w:rsidR="0073675E">
        <w:rPr>
          <w:rFonts w:ascii="Cambria" w:hAnsi="Cambria"/>
          <w:lang w:val="sv-SE"/>
        </w:rPr>
        <w:t>)</w:t>
      </w:r>
      <w:r>
        <w:rPr>
          <w:rFonts w:ascii="Cambria" w:hAnsi="Cambria"/>
          <w:lang w:val="sv-SE"/>
        </w:rPr>
        <w:t xml:space="preserve">. Denna tjänst har hittills hanterats via upphandling </w:t>
      </w:r>
      <w:r w:rsidR="001724C2">
        <w:rPr>
          <w:rFonts w:ascii="Cambria" w:hAnsi="Cambria"/>
          <w:lang w:val="sv-SE"/>
        </w:rPr>
        <w:t xml:space="preserve">och har drivits </w:t>
      </w:r>
      <w:r>
        <w:rPr>
          <w:rFonts w:ascii="Cambria" w:hAnsi="Cambria"/>
          <w:lang w:val="sv-SE"/>
        </w:rPr>
        <w:t xml:space="preserve">av </w:t>
      </w:r>
      <w:r w:rsidR="00283098">
        <w:rPr>
          <w:rFonts w:ascii="Cambria" w:hAnsi="Cambria"/>
          <w:lang w:val="sv-SE"/>
        </w:rPr>
        <w:t xml:space="preserve">det privata företaget </w:t>
      </w:r>
      <w:proofErr w:type="spellStart"/>
      <w:r>
        <w:rPr>
          <w:rFonts w:ascii="Cambria" w:hAnsi="Cambria"/>
          <w:lang w:val="sv-SE"/>
        </w:rPr>
        <w:t>MedHelp</w:t>
      </w:r>
      <w:proofErr w:type="spellEnd"/>
      <w:r>
        <w:rPr>
          <w:rFonts w:ascii="Cambria" w:hAnsi="Cambria"/>
          <w:lang w:val="sv-SE"/>
        </w:rPr>
        <w:t xml:space="preserve"> Sjukvårdsrådgivning AB</w:t>
      </w:r>
      <w:r w:rsidR="001724C2">
        <w:rPr>
          <w:rFonts w:ascii="Cambria" w:hAnsi="Cambria"/>
          <w:lang w:val="sv-SE"/>
        </w:rPr>
        <w:t xml:space="preserve"> sedan tidigt 2000-tal. </w:t>
      </w:r>
      <w:r w:rsidR="008C2C10">
        <w:rPr>
          <w:rFonts w:ascii="Cambria" w:hAnsi="Cambria"/>
          <w:lang w:val="sv-SE"/>
        </w:rPr>
        <w:t xml:space="preserve">Planen är att tjänsten i stället ska tas över i egen regi genom att regionen förvärvar verksamheten, även om man just nu utreder </w:t>
      </w:r>
      <w:r w:rsidR="008C2C10">
        <w:rPr>
          <w:rFonts w:ascii="Cambria" w:hAnsi="Cambria"/>
          <w:lang w:val="sv-SE"/>
        </w:rPr>
        <w:lastRenderedPageBreak/>
        <w:t>frågan vidare på grund av riskerna för att kostnaderna är för höga (Torkelsson 2024).</w:t>
      </w:r>
      <w:r w:rsidR="00442CF9">
        <w:rPr>
          <w:rFonts w:ascii="Cambria" w:hAnsi="Cambria"/>
          <w:lang w:val="sv-SE"/>
        </w:rPr>
        <w:t xml:space="preserve"> </w:t>
      </w:r>
      <w:r w:rsidR="00DF0BD6">
        <w:rPr>
          <w:rFonts w:ascii="Cambria" w:hAnsi="Cambria"/>
          <w:lang w:val="sv-SE"/>
        </w:rPr>
        <w:t xml:space="preserve">Motiveringen till att ta över </w:t>
      </w:r>
      <w:r w:rsidR="00B450B3">
        <w:rPr>
          <w:rFonts w:ascii="Cambria" w:hAnsi="Cambria"/>
          <w:lang w:val="sv-SE"/>
        </w:rPr>
        <w:t xml:space="preserve">tjänsten i egen regi är dels att man önskar att rådgivningen blir mer träffsäker, </w:t>
      </w:r>
      <w:r w:rsidR="00AB5A84">
        <w:rPr>
          <w:rFonts w:ascii="Cambria" w:hAnsi="Cambria"/>
          <w:lang w:val="sv-SE"/>
        </w:rPr>
        <w:t xml:space="preserve">genom att </w:t>
      </w:r>
      <w:r w:rsidR="00B450B3">
        <w:rPr>
          <w:rFonts w:ascii="Cambria" w:hAnsi="Cambria"/>
          <w:lang w:val="sv-SE"/>
        </w:rPr>
        <w:t xml:space="preserve">säkerställa att den som svarar i telefonen får tillgång till patientens journal. På så sätt hoppas man </w:t>
      </w:r>
      <w:r w:rsidR="00572316">
        <w:rPr>
          <w:rFonts w:ascii="Cambria" w:hAnsi="Cambria"/>
          <w:lang w:val="sv-SE"/>
        </w:rPr>
        <w:t>sänkas kostnaderna genom att</w:t>
      </w:r>
      <w:r w:rsidR="00AB5A84">
        <w:rPr>
          <w:rFonts w:ascii="Cambria" w:hAnsi="Cambria"/>
          <w:lang w:val="sv-SE"/>
        </w:rPr>
        <w:t xml:space="preserve"> </w:t>
      </w:r>
      <w:r w:rsidR="00B450B3">
        <w:rPr>
          <w:rFonts w:ascii="Cambria" w:hAnsi="Cambria"/>
          <w:lang w:val="sv-SE"/>
        </w:rPr>
        <w:t>minska antalet patienter som hänvisas till akuten</w:t>
      </w:r>
      <w:r w:rsidR="00572316">
        <w:rPr>
          <w:rFonts w:ascii="Cambria" w:hAnsi="Cambria"/>
          <w:lang w:val="sv-SE"/>
        </w:rPr>
        <w:t xml:space="preserve">, </w:t>
      </w:r>
      <w:r w:rsidR="00B450B3">
        <w:rPr>
          <w:rFonts w:ascii="Cambria" w:hAnsi="Cambria"/>
          <w:lang w:val="sv-SE"/>
        </w:rPr>
        <w:t xml:space="preserve">något </w:t>
      </w:r>
      <w:r w:rsidR="00572316">
        <w:rPr>
          <w:rFonts w:ascii="Cambria" w:hAnsi="Cambria"/>
          <w:lang w:val="sv-SE"/>
        </w:rPr>
        <w:t xml:space="preserve">som </w:t>
      </w:r>
      <w:r w:rsidR="00B450B3">
        <w:rPr>
          <w:rFonts w:ascii="Cambria" w:hAnsi="Cambria"/>
          <w:lang w:val="sv-SE"/>
        </w:rPr>
        <w:t xml:space="preserve">man har kritiserat den nuvarande tjänsten för att göra i för stor utsträckning. </w:t>
      </w:r>
      <w:r w:rsidR="005A3B76">
        <w:rPr>
          <w:rFonts w:ascii="Cambria" w:hAnsi="Cambria"/>
          <w:lang w:val="sv-SE"/>
        </w:rPr>
        <w:t>Återigen</w:t>
      </w:r>
      <w:r w:rsidR="00B450B3">
        <w:rPr>
          <w:rFonts w:ascii="Cambria" w:hAnsi="Cambria"/>
          <w:lang w:val="sv-SE"/>
        </w:rPr>
        <w:t xml:space="preserve"> hänvisar man</w:t>
      </w:r>
      <w:r w:rsidR="005A3B76">
        <w:rPr>
          <w:rFonts w:ascii="Cambria" w:hAnsi="Cambria"/>
          <w:lang w:val="sv-SE"/>
        </w:rPr>
        <w:t xml:space="preserve"> även</w:t>
      </w:r>
      <w:r w:rsidR="00B450B3">
        <w:rPr>
          <w:rFonts w:ascii="Cambria" w:hAnsi="Cambria"/>
          <w:lang w:val="sv-SE"/>
        </w:rPr>
        <w:t xml:space="preserve"> till det förändrade omvärldsläget som ett skäl varför ”central infrastruktur </w:t>
      </w:r>
      <w:r w:rsidR="005A3B76">
        <w:rPr>
          <w:rFonts w:ascii="Cambria" w:hAnsi="Cambria"/>
          <w:lang w:val="sv-SE"/>
        </w:rPr>
        <w:t xml:space="preserve">[måste] </w:t>
      </w:r>
      <w:r w:rsidR="00B450B3">
        <w:rPr>
          <w:rFonts w:ascii="Cambria" w:hAnsi="Cambria"/>
          <w:lang w:val="sv-SE"/>
        </w:rPr>
        <w:t xml:space="preserve">finnas i regionens egenregi” (Steiner 2022, Gustafsson 2024). </w:t>
      </w:r>
    </w:p>
    <w:p w14:paraId="44D8907B" w14:textId="77777777" w:rsidR="00283FF5" w:rsidRDefault="00283FF5" w:rsidP="002B71DE">
      <w:pPr>
        <w:jc w:val="both"/>
        <w:rPr>
          <w:rFonts w:ascii="Cambria" w:hAnsi="Cambria"/>
          <w:lang w:val="sv-SE"/>
        </w:rPr>
      </w:pPr>
    </w:p>
    <w:p w14:paraId="2FF71C9D" w14:textId="51F4CA6A" w:rsidR="009B7F5E" w:rsidRDefault="00283FF5" w:rsidP="002B71DE">
      <w:pPr>
        <w:jc w:val="both"/>
        <w:rPr>
          <w:rFonts w:ascii="Cambria" w:hAnsi="Cambria"/>
          <w:lang w:val="sv-SE"/>
        </w:rPr>
      </w:pPr>
      <w:r>
        <w:rPr>
          <w:rFonts w:ascii="Cambria" w:hAnsi="Cambria"/>
          <w:lang w:val="sv-SE"/>
        </w:rPr>
        <w:t xml:space="preserve">Utöver detta har man påbörjat större förändringar av </w:t>
      </w:r>
      <w:r w:rsidR="00B41DC3">
        <w:rPr>
          <w:rFonts w:ascii="Cambria" w:hAnsi="Cambria"/>
          <w:lang w:val="sv-SE"/>
        </w:rPr>
        <w:t xml:space="preserve">flera </w:t>
      </w:r>
      <w:r>
        <w:rPr>
          <w:rFonts w:ascii="Cambria" w:hAnsi="Cambria"/>
          <w:lang w:val="sv-SE"/>
        </w:rPr>
        <w:t>vårdval inom specialistvården.</w:t>
      </w:r>
      <w:r w:rsidR="00BE0E2D">
        <w:rPr>
          <w:rFonts w:ascii="Cambria" w:hAnsi="Cambria"/>
          <w:lang w:val="sv-SE"/>
        </w:rPr>
        <w:t xml:space="preserve"> 13 av dagens 38 vårdval </w:t>
      </w:r>
      <w:r w:rsidR="009B7F5E">
        <w:rPr>
          <w:rFonts w:ascii="Cambria" w:hAnsi="Cambria"/>
          <w:lang w:val="sv-SE"/>
        </w:rPr>
        <w:t>kommer antingen att revideras eller läggas ner helt och hållet. Åtta vårdval kommer att utredas vidare och kan också komma att revideras eller läggas ner.</w:t>
      </w:r>
      <w:r w:rsidR="005A6193">
        <w:rPr>
          <w:rFonts w:ascii="Cambria" w:hAnsi="Cambria"/>
          <w:lang w:val="sv-SE"/>
        </w:rPr>
        <w:t xml:space="preserve"> </w:t>
      </w:r>
      <w:r w:rsidR="00B41DC3">
        <w:rPr>
          <w:rFonts w:ascii="Cambria" w:hAnsi="Cambria"/>
          <w:lang w:val="sv-SE"/>
        </w:rPr>
        <w:t xml:space="preserve">Den </w:t>
      </w:r>
      <w:r w:rsidR="009B7F5E">
        <w:rPr>
          <w:rFonts w:ascii="Cambria" w:hAnsi="Cambria"/>
          <w:lang w:val="sv-SE"/>
        </w:rPr>
        <w:t>omställningsplan som antogs i regionens budget i juni 2023</w:t>
      </w:r>
      <w:r w:rsidR="00B41DC3">
        <w:rPr>
          <w:rFonts w:ascii="Cambria" w:hAnsi="Cambria"/>
          <w:lang w:val="sv-SE"/>
        </w:rPr>
        <w:t xml:space="preserve"> innehåller följande övergripande motivering</w:t>
      </w:r>
      <w:r w:rsidR="009B7F5E">
        <w:rPr>
          <w:rFonts w:ascii="Cambria" w:hAnsi="Cambria"/>
          <w:lang w:val="sv-SE"/>
        </w:rPr>
        <w:t>:</w:t>
      </w:r>
    </w:p>
    <w:p w14:paraId="5987485B" w14:textId="77777777" w:rsidR="009B7F5E" w:rsidRDefault="009B7F5E" w:rsidP="002B71DE">
      <w:pPr>
        <w:jc w:val="both"/>
        <w:rPr>
          <w:rFonts w:ascii="Cambria" w:hAnsi="Cambria"/>
          <w:lang w:val="sv-SE"/>
        </w:rPr>
      </w:pPr>
    </w:p>
    <w:p w14:paraId="5C07E4DD" w14:textId="79823F5B" w:rsidR="009B7F5E" w:rsidRDefault="009B7F5E" w:rsidP="009B7F5E">
      <w:pPr>
        <w:ind w:left="567" w:right="567"/>
        <w:jc w:val="both"/>
        <w:rPr>
          <w:rFonts w:ascii="Cambria" w:hAnsi="Cambria"/>
          <w:lang w:val="sv-SE"/>
        </w:rPr>
      </w:pPr>
      <w:r w:rsidRPr="009B7F5E">
        <w:rPr>
          <w:rFonts w:ascii="Cambria" w:hAnsi="Cambria"/>
          <w:lang w:val="sv-SE"/>
        </w:rPr>
        <w:t>I regionens budget för 2023 anges att sjukvården i regionen idag präglas av</w:t>
      </w:r>
      <w:r>
        <w:rPr>
          <w:rFonts w:ascii="Cambria" w:hAnsi="Cambria"/>
          <w:lang w:val="sv-SE"/>
        </w:rPr>
        <w:t xml:space="preserve"> </w:t>
      </w:r>
      <w:r w:rsidRPr="009B7F5E">
        <w:rPr>
          <w:rFonts w:ascii="Cambria" w:hAnsi="Cambria"/>
          <w:lang w:val="sv-SE"/>
        </w:rPr>
        <w:t>en hög tillgänglighet men att den behöver utvecklas mot att bli mer</w:t>
      </w:r>
      <w:r>
        <w:rPr>
          <w:rFonts w:ascii="Cambria" w:hAnsi="Cambria"/>
          <w:lang w:val="sv-SE"/>
        </w:rPr>
        <w:t xml:space="preserve"> </w:t>
      </w:r>
      <w:r w:rsidRPr="009B7F5E">
        <w:rPr>
          <w:rFonts w:ascii="Cambria" w:hAnsi="Cambria"/>
          <w:lang w:val="sv-SE"/>
        </w:rPr>
        <w:t>behovsstyrd. Vårdområden där vårdkonsumtionen har ökat utan att det är</w:t>
      </w:r>
      <w:r>
        <w:rPr>
          <w:rFonts w:ascii="Cambria" w:hAnsi="Cambria"/>
          <w:lang w:val="sv-SE"/>
        </w:rPr>
        <w:t xml:space="preserve"> </w:t>
      </w:r>
      <w:r w:rsidRPr="009B7F5E">
        <w:rPr>
          <w:rFonts w:ascii="Cambria" w:hAnsi="Cambria"/>
          <w:lang w:val="sv-SE"/>
        </w:rPr>
        <w:t>medicinskt motiverat behöver ses över och vårdvalsområden med hög</w:t>
      </w:r>
      <w:r>
        <w:rPr>
          <w:rFonts w:ascii="Cambria" w:hAnsi="Cambria"/>
          <w:lang w:val="sv-SE"/>
        </w:rPr>
        <w:t xml:space="preserve"> </w:t>
      </w:r>
      <w:r w:rsidRPr="009B7F5E">
        <w:rPr>
          <w:rFonts w:ascii="Cambria" w:hAnsi="Cambria"/>
          <w:lang w:val="sv-SE"/>
        </w:rPr>
        <w:t>kostnadsutveckling ska revideras eller, vid behov, avskaffas och vården ska i</w:t>
      </w:r>
      <w:r>
        <w:rPr>
          <w:rFonts w:ascii="Cambria" w:hAnsi="Cambria"/>
          <w:lang w:val="sv-SE"/>
        </w:rPr>
        <w:t xml:space="preserve"> </w:t>
      </w:r>
      <w:r w:rsidRPr="009B7F5E">
        <w:rPr>
          <w:rFonts w:ascii="Cambria" w:hAnsi="Cambria"/>
          <w:lang w:val="sv-SE"/>
        </w:rPr>
        <w:t>stället överföras till egenägd vård, akademiska specialistcentra, alternativt</w:t>
      </w:r>
      <w:r>
        <w:rPr>
          <w:rFonts w:ascii="Cambria" w:hAnsi="Cambria"/>
          <w:lang w:val="sv-SE"/>
        </w:rPr>
        <w:t xml:space="preserve"> </w:t>
      </w:r>
      <w:r w:rsidRPr="009B7F5E">
        <w:rPr>
          <w:rFonts w:ascii="Cambria" w:hAnsi="Cambria"/>
          <w:lang w:val="sv-SE"/>
        </w:rPr>
        <w:t>upphandlas enligt LOU</w:t>
      </w:r>
      <w:r>
        <w:rPr>
          <w:rFonts w:ascii="Cambria" w:hAnsi="Cambria"/>
          <w:lang w:val="sv-SE"/>
        </w:rPr>
        <w:t xml:space="preserve"> (HSN </w:t>
      </w:r>
      <w:proofErr w:type="gramStart"/>
      <w:r>
        <w:rPr>
          <w:rFonts w:ascii="Cambria" w:hAnsi="Cambria"/>
          <w:lang w:val="sv-SE"/>
        </w:rPr>
        <w:t>2023-0097</w:t>
      </w:r>
      <w:proofErr w:type="gramEnd"/>
      <w:r>
        <w:rPr>
          <w:rFonts w:ascii="Cambria" w:hAnsi="Cambria"/>
          <w:lang w:val="sv-SE"/>
        </w:rPr>
        <w:t>, s. 1).</w:t>
      </w:r>
    </w:p>
    <w:p w14:paraId="248B84FA" w14:textId="77777777" w:rsidR="005A6193" w:rsidRDefault="005A6193" w:rsidP="002B71DE">
      <w:pPr>
        <w:jc w:val="both"/>
        <w:rPr>
          <w:rFonts w:ascii="Cambria" w:hAnsi="Cambria"/>
          <w:lang w:val="sv-SE"/>
        </w:rPr>
      </w:pPr>
    </w:p>
    <w:p w14:paraId="24F66838" w14:textId="6EAC9630" w:rsidR="008C76DE" w:rsidRDefault="005A6193" w:rsidP="002B71DE">
      <w:pPr>
        <w:jc w:val="both"/>
        <w:rPr>
          <w:rFonts w:ascii="Cambria" w:hAnsi="Cambria"/>
          <w:lang w:val="sv-SE"/>
        </w:rPr>
      </w:pPr>
      <w:r>
        <w:rPr>
          <w:rFonts w:ascii="Cambria" w:hAnsi="Cambria"/>
          <w:lang w:val="sv-SE"/>
        </w:rPr>
        <w:t xml:space="preserve">Ett av de vårdval som ska tas bort helt och hållet är det inom </w:t>
      </w:r>
      <w:r w:rsidR="008D6AAD">
        <w:rPr>
          <w:rFonts w:ascii="Cambria" w:hAnsi="Cambria"/>
          <w:lang w:val="sv-SE"/>
        </w:rPr>
        <w:t>allergologi</w:t>
      </w:r>
      <w:r w:rsidR="00A25FCF">
        <w:rPr>
          <w:rFonts w:ascii="Cambria" w:hAnsi="Cambria"/>
          <w:lang w:val="sv-SE"/>
        </w:rPr>
        <w:t xml:space="preserve">, </w:t>
      </w:r>
      <w:r>
        <w:rPr>
          <w:rFonts w:ascii="Cambria" w:hAnsi="Cambria"/>
          <w:lang w:val="sv-SE"/>
        </w:rPr>
        <w:t>där vården</w:t>
      </w:r>
      <w:r w:rsidR="00A25FCF">
        <w:rPr>
          <w:rFonts w:ascii="Cambria" w:hAnsi="Cambria"/>
          <w:lang w:val="sv-SE"/>
        </w:rPr>
        <w:t xml:space="preserve"> </w:t>
      </w:r>
      <w:r w:rsidR="00277D44">
        <w:rPr>
          <w:rFonts w:ascii="Cambria" w:hAnsi="Cambria"/>
          <w:lang w:val="sv-SE"/>
        </w:rPr>
        <w:t>i stället</w:t>
      </w:r>
      <w:r w:rsidR="00A25FCF">
        <w:rPr>
          <w:rFonts w:ascii="Cambria" w:hAnsi="Cambria"/>
          <w:lang w:val="sv-SE"/>
        </w:rPr>
        <w:t xml:space="preserve"> flyttas till Karolinska Universitetssjukhuset och Södersjukhuset. Viss vård antas </w:t>
      </w:r>
      <w:r w:rsidR="00277D44">
        <w:rPr>
          <w:rFonts w:ascii="Cambria" w:hAnsi="Cambria"/>
          <w:lang w:val="sv-SE"/>
        </w:rPr>
        <w:t>samtidigt kunna hanteras inom primärvården. Motiveringen är att vårdvalet har minskat möjligheterna att få fram tillräckligt många specialister</w:t>
      </w:r>
      <w:r w:rsidR="008B543C">
        <w:rPr>
          <w:rFonts w:ascii="Cambria" w:hAnsi="Cambria"/>
          <w:lang w:val="sv-SE"/>
        </w:rPr>
        <w:t xml:space="preserve">, vilket i sin tur </w:t>
      </w:r>
      <w:r w:rsidR="00F61B3D">
        <w:rPr>
          <w:rFonts w:ascii="Cambria" w:hAnsi="Cambria"/>
          <w:lang w:val="sv-SE"/>
        </w:rPr>
        <w:t xml:space="preserve">ska </w:t>
      </w:r>
      <w:r w:rsidR="008B543C">
        <w:rPr>
          <w:rFonts w:ascii="Cambria" w:hAnsi="Cambria"/>
          <w:lang w:val="sv-SE"/>
        </w:rPr>
        <w:t xml:space="preserve">ha </w:t>
      </w:r>
      <w:r w:rsidR="00E54175">
        <w:rPr>
          <w:rFonts w:ascii="Cambria" w:hAnsi="Cambria"/>
          <w:lang w:val="sv-SE"/>
        </w:rPr>
        <w:t>lett till</w:t>
      </w:r>
      <w:r w:rsidR="008B543C">
        <w:rPr>
          <w:rFonts w:ascii="Cambria" w:hAnsi="Cambria"/>
          <w:lang w:val="sv-SE"/>
        </w:rPr>
        <w:t xml:space="preserve"> låg tillgänglighet och</w:t>
      </w:r>
      <w:r w:rsidR="00E54175">
        <w:rPr>
          <w:rFonts w:ascii="Cambria" w:hAnsi="Cambria"/>
          <w:lang w:val="sv-SE"/>
        </w:rPr>
        <w:t xml:space="preserve"> långa köer (</w:t>
      </w:r>
      <w:r w:rsidR="00E54175" w:rsidRPr="00E54175">
        <w:rPr>
          <w:rFonts w:ascii="Cambria" w:hAnsi="Cambria"/>
          <w:lang w:val="sv-SE"/>
        </w:rPr>
        <w:t xml:space="preserve">HSN </w:t>
      </w:r>
      <w:proofErr w:type="gramStart"/>
      <w:r w:rsidR="00E54175" w:rsidRPr="00E54175">
        <w:rPr>
          <w:rFonts w:ascii="Cambria" w:hAnsi="Cambria"/>
          <w:lang w:val="sv-SE"/>
        </w:rPr>
        <w:t>2023-0955</w:t>
      </w:r>
      <w:proofErr w:type="gramEnd"/>
      <w:r w:rsidR="00E54175">
        <w:rPr>
          <w:rFonts w:ascii="Cambria" w:hAnsi="Cambria"/>
          <w:lang w:val="sv-SE"/>
        </w:rPr>
        <w:t>; Schröder 2023).</w:t>
      </w:r>
      <w:r w:rsidR="000D4013">
        <w:rPr>
          <w:rFonts w:ascii="Cambria" w:hAnsi="Cambria"/>
          <w:lang w:val="sv-SE"/>
        </w:rPr>
        <w:t xml:space="preserve"> </w:t>
      </w:r>
    </w:p>
    <w:p w14:paraId="1D98D4C8" w14:textId="77777777" w:rsidR="008C76DE" w:rsidRDefault="008C76DE" w:rsidP="002B71DE">
      <w:pPr>
        <w:jc w:val="both"/>
        <w:rPr>
          <w:rFonts w:ascii="Cambria" w:hAnsi="Cambria"/>
          <w:lang w:val="sv-SE"/>
        </w:rPr>
      </w:pPr>
    </w:p>
    <w:p w14:paraId="6853F7DE" w14:textId="26E024D1" w:rsidR="001D480D" w:rsidRDefault="000D4013" w:rsidP="002B71DE">
      <w:pPr>
        <w:jc w:val="both"/>
        <w:rPr>
          <w:rFonts w:ascii="Cambria" w:hAnsi="Cambria"/>
          <w:lang w:val="sv-SE"/>
        </w:rPr>
      </w:pPr>
      <w:r>
        <w:rPr>
          <w:rFonts w:ascii="Cambria" w:hAnsi="Cambria"/>
          <w:lang w:val="sv-SE"/>
        </w:rPr>
        <w:t xml:space="preserve">Även vårdval specialiserad ögonsjukvård kommer att avvecklas och ersättas med upphandling. Skälet som anges är </w:t>
      </w:r>
      <w:r w:rsidR="003B3D45">
        <w:rPr>
          <w:rFonts w:ascii="Cambria" w:hAnsi="Cambria"/>
          <w:lang w:val="sv-SE"/>
        </w:rPr>
        <w:t>framför allt</w:t>
      </w:r>
      <w:r>
        <w:rPr>
          <w:rFonts w:ascii="Cambria" w:hAnsi="Cambria"/>
          <w:lang w:val="sv-SE"/>
        </w:rPr>
        <w:t xml:space="preserve"> att kostnaderna har ökat </w:t>
      </w:r>
      <w:r w:rsidR="003B3D45">
        <w:rPr>
          <w:rFonts w:ascii="Cambria" w:hAnsi="Cambria"/>
          <w:lang w:val="sv-SE"/>
        </w:rPr>
        <w:t>och att Stockholm har högre kostnader</w:t>
      </w:r>
      <w:r w:rsidR="004D1914">
        <w:rPr>
          <w:rFonts w:ascii="Cambria" w:hAnsi="Cambria"/>
          <w:lang w:val="sv-SE"/>
        </w:rPr>
        <w:t xml:space="preserve"> än andra regioner</w:t>
      </w:r>
      <w:r w:rsidR="003B3D45">
        <w:rPr>
          <w:rFonts w:ascii="Cambria" w:hAnsi="Cambria"/>
          <w:lang w:val="sv-SE"/>
        </w:rPr>
        <w:t xml:space="preserve">, trots att </w:t>
      </w:r>
      <w:r w:rsidR="00F71BC9">
        <w:rPr>
          <w:rFonts w:ascii="Cambria" w:hAnsi="Cambria"/>
          <w:lang w:val="sv-SE"/>
        </w:rPr>
        <w:t>regionen</w:t>
      </w:r>
      <w:r w:rsidR="003B3D45">
        <w:rPr>
          <w:rFonts w:ascii="Cambria" w:hAnsi="Cambria"/>
          <w:lang w:val="sv-SE"/>
        </w:rPr>
        <w:t xml:space="preserve"> har en relativt sett ung befolkning (</w:t>
      </w:r>
      <w:r w:rsidR="003B3D45" w:rsidRPr="003B3D45">
        <w:rPr>
          <w:rFonts w:ascii="Cambria" w:hAnsi="Cambria"/>
          <w:lang w:val="sv-SE"/>
        </w:rPr>
        <w:t xml:space="preserve">HSN </w:t>
      </w:r>
      <w:proofErr w:type="gramStart"/>
      <w:r w:rsidR="003B3D45" w:rsidRPr="003B3D45">
        <w:rPr>
          <w:rFonts w:ascii="Cambria" w:hAnsi="Cambria"/>
          <w:lang w:val="sv-SE"/>
        </w:rPr>
        <w:t>2023-0937</w:t>
      </w:r>
      <w:proofErr w:type="gramEnd"/>
      <w:r w:rsidR="003B3D45">
        <w:rPr>
          <w:rFonts w:ascii="Cambria" w:hAnsi="Cambria"/>
          <w:lang w:val="sv-SE"/>
        </w:rPr>
        <w:t>;</w:t>
      </w:r>
      <w:r w:rsidR="008C76DE">
        <w:rPr>
          <w:rFonts w:ascii="Cambria" w:hAnsi="Cambria"/>
          <w:lang w:val="sv-SE"/>
        </w:rPr>
        <w:t xml:space="preserve"> </w:t>
      </w:r>
      <w:r w:rsidR="008C76DE" w:rsidRPr="008C76DE">
        <w:rPr>
          <w:rFonts w:ascii="Cambria" w:hAnsi="Cambria"/>
          <w:lang w:val="sv-SE"/>
        </w:rPr>
        <w:t>HSN 2023-0938</w:t>
      </w:r>
      <w:r w:rsidR="008C76DE">
        <w:rPr>
          <w:rFonts w:ascii="Cambria" w:hAnsi="Cambria"/>
          <w:lang w:val="sv-SE"/>
        </w:rPr>
        <w:t>;</w:t>
      </w:r>
      <w:r w:rsidR="003B3D45">
        <w:rPr>
          <w:rFonts w:ascii="Cambria" w:hAnsi="Cambria"/>
          <w:lang w:val="sv-SE"/>
        </w:rPr>
        <w:t xml:space="preserve"> </w:t>
      </w:r>
      <w:proofErr w:type="spellStart"/>
      <w:r w:rsidR="003B3D45">
        <w:rPr>
          <w:rFonts w:ascii="Cambria" w:hAnsi="Cambria"/>
          <w:lang w:val="sv-SE"/>
        </w:rPr>
        <w:t>Tottmar</w:t>
      </w:r>
      <w:proofErr w:type="spellEnd"/>
      <w:r w:rsidR="003B3D45">
        <w:rPr>
          <w:rFonts w:ascii="Cambria" w:hAnsi="Cambria"/>
          <w:lang w:val="sv-SE"/>
        </w:rPr>
        <w:t xml:space="preserve"> 2023).</w:t>
      </w:r>
    </w:p>
    <w:p w14:paraId="0400FD8F" w14:textId="77777777" w:rsidR="001D480D" w:rsidRDefault="001D480D" w:rsidP="002B71DE">
      <w:pPr>
        <w:jc w:val="both"/>
        <w:rPr>
          <w:rFonts w:ascii="Cambria" w:hAnsi="Cambria"/>
          <w:lang w:val="sv-SE"/>
        </w:rPr>
      </w:pPr>
    </w:p>
    <w:p w14:paraId="4E32D5ED" w14:textId="66AC65BA" w:rsidR="002E3217" w:rsidRDefault="00F95AC6" w:rsidP="002B71DE">
      <w:pPr>
        <w:jc w:val="both"/>
        <w:rPr>
          <w:rFonts w:ascii="Cambria" w:hAnsi="Cambria"/>
          <w:lang w:val="sv-SE"/>
        </w:rPr>
      </w:pPr>
      <w:r>
        <w:rPr>
          <w:rFonts w:ascii="Cambria" w:hAnsi="Cambria"/>
          <w:lang w:val="sv-SE"/>
        </w:rPr>
        <w:t xml:space="preserve">Likaså </w:t>
      </w:r>
      <w:r w:rsidR="006D7644">
        <w:rPr>
          <w:rFonts w:ascii="Cambria" w:hAnsi="Cambria"/>
          <w:lang w:val="sv-SE"/>
        </w:rPr>
        <w:t>planerar</w:t>
      </w:r>
      <w:r w:rsidR="006F4C6A">
        <w:rPr>
          <w:rFonts w:ascii="Cambria" w:hAnsi="Cambria"/>
          <w:lang w:val="sv-SE"/>
        </w:rPr>
        <w:t xml:space="preserve"> man </w:t>
      </w:r>
      <w:r w:rsidR="006D7644">
        <w:rPr>
          <w:rFonts w:ascii="Cambria" w:hAnsi="Cambria"/>
          <w:lang w:val="sv-SE"/>
        </w:rPr>
        <w:t>att avveckla</w:t>
      </w:r>
      <w:r>
        <w:rPr>
          <w:rFonts w:ascii="Cambria" w:hAnsi="Cambria"/>
          <w:lang w:val="sv-SE"/>
        </w:rPr>
        <w:t xml:space="preserve"> vårdvalet för specialiserad rehabilitering vid utmattningssyndrom och långvarig smärta. Idén är att </w:t>
      </w:r>
      <w:r w:rsidR="00F61B3D">
        <w:rPr>
          <w:rFonts w:ascii="Cambria" w:hAnsi="Cambria"/>
          <w:lang w:val="sv-SE"/>
        </w:rPr>
        <w:t xml:space="preserve">i stället </w:t>
      </w:r>
      <w:r w:rsidR="00B41DC3">
        <w:rPr>
          <w:rFonts w:ascii="Cambria" w:hAnsi="Cambria"/>
          <w:lang w:val="sv-SE"/>
        </w:rPr>
        <w:t xml:space="preserve">hänvisa </w:t>
      </w:r>
      <w:r>
        <w:rPr>
          <w:rFonts w:ascii="Cambria" w:hAnsi="Cambria"/>
          <w:lang w:val="sv-SE"/>
        </w:rPr>
        <w:t xml:space="preserve">två tredjedelar av patienterna </w:t>
      </w:r>
      <w:r w:rsidR="00B41DC3">
        <w:rPr>
          <w:rFonts w:ascii="Cambria" w:hAnsi="Cambria"/>
          <w:lang w:val="sv-SE"/>
        </w:rPr>
        <w:t xml:space="preserve">till </w:t>
      </w:r>
      <w:r>
        <w:rPr>
          <w:rFonts w:ascii="Cambria" w:hAnsi="Cambria"/>
          <w:lang w:val="sv-SE"/>
        </w:rPr>
        <w:t>vårdcentralerna</w:t>
      </w:r>
      <w:r w:rsidR="00B41DC3">
        <w:rPr>
          <w:rFonts w:ascii="Cambria" w:hAnsi="Cambria"/>
          <w:lang w:val="sv-SE"/>
        </w:rPr>
        <w:t xml:space="preserve">, medan </w:t>
      </w:r>
      <w:r w:rsidR="002E3217">
        <w:rPr>
          <w:rFonts w:ascii="Cambria" w:hAnsi="Cambria"/>
          <w:lang w:val="sv-SE"/>
        </w:rPr>
        <w:t>den</w:t>
      </w:r>
      <w:r>
        <w:rPr>
          <w:rFonts w:ascii="Cambria" w:hAnsi="Cambria"/>
          <w:lang w:val="sv-SE"/>
        </w:rPr>
        <w:t xml:space="preserve"> resterande tredjedelen</w:t>
      </w:r>
      <w:r w:rsidR="001D480D">
        <w:rPr>
          <w:rFonts w:ascii="Cambria" w:hAnsi="Cambria"/>
          <w:lang w:val="sv-SE"/>
        </w:rPr>
        <w:t>, som bedöms ha besvär där primärvården inte är tillräcklig</w:t>
      </w:r>
      <w:r w:rsidR="00B41DC3">
        <w:rPr>
          <w:rFonts w:ascii="Cambria" w:hAnsi="Cambria"/>
          <w:lang w:val="sv-SE"/>
        </w:rPr>
        <w:t>,</w:t>
      </w:r>
      <w:r>
        <w:rPr>
          <w:rFonts w:ascii="Cambria" w:hAnsi="Cambria"/>
          <w:lang w:val="sv-SE"/>
        </w:rPr>
        <w:t xml:space="preserve"> </w:t>
      </w:r>
      <w:r w:rsidR="00B41DC3">
        <w:rPr>
          <w:rFonts w:ascii="Cambria" w:hAnsi="Cambria"/>
          <w:lang w:val="sv-SE"/>
        </w:rPr>
        <w:t xml:space="preserve">ska </w:t>
      </w:r>
      <w:r>
        <w:rPr>
          <w:rFonts w:ascii="Cambria" w:hAnsi="Cambria"/>
          <w:lang w:val="sv-SE"/>
        </w:rPr>
        <w:t>hänvisa</w:t>
      </w:r>
      <w:r w:rsidR="00B41DC3">
        <w:rPr>
          <w:rFonts w:ascii="Cambria" w:hAnsi="Cambria"/>
          <w:lang w:val="sv-SE"/>
        </w:rPr>
        <w:t>s</w:t>
      </w:r>
      <w:r>
        <w:rPr>
          <w:rFonts w:ascii="Cambria" w:hAnsi="Cambria"/>
          <w:lang w:val="sv-SE"/>
        </w:rPr>
        <w:t xml:space="preserve"> till</w:t>
      </w:r>
      <w:r w:rsidR="002E3217">
        <w:rPr>
          <w:rFonts w:ascii="Cambria" w:hAnsi="Cambria"/>
          <w:lang w:val="sv-SE"/>
        </w:rPr>
        <w:t xml:space="preserve"> </w:t>
      </w:r>
      <w:r w:rsidR="00246791">
        <w:rPr>
          <w:rFonts w:ascii="Cambria" w:hAnsi="Cambria"/>
          <w:lang w:val="sv-SE"/>
        </w:rPr>
        <w:t xml:space="preserve">sjukhus och </w:t>
      </w:r>
      <w:r w:rsidR="002E3217">
        <w:rPr>
          <w:rFonts w:ascii="Cambria" w:hAnsi="Cambria"/>
          <w:lang w:val="sv-SE"/>
        </w:rPr>
        <w:t xml:space="preserve">psykiatri. </w:t>
      </w:r>
      <w:r w:rsidR="00A85F94">
        <w:rPr>
          <w:rFonts w:ascii="Cambria" w:hAnsi="Cambria"/>
          <w:lang w:val="sv-SE"/>
        </w:rPr>
        <w:t>Motiveringen är</w:t>
      </w:r>
      <w:r w:rsidR="00851892">
        <w:rPr>
          <w:rFonts w:ascii="Cambria" w:hAnsi="Cambria"/>
          <w:lang w:val="sv-SE"/>
        </w:rPr>
        <w:t xml:space="preserve"> i huvudsak grundad på en utredning som tillsattes under föregående </w:t>
      </w:r>
      <w:r w:rsidR="00B41DC3">
        <w:rPr>
          <w:rFonts w:ascii="Cambria" w:hAnsi="Cambria"/>
          <w:lang w:val="sv-SE"/>
        </w:rPr>
        <w:t xml:space="preserve">politiska </w:t>
      </w:r>
      <w:r w:rsidR="00851892">
        <w:rPr>
          <w:rFonts w:ascii="Cambria" w:hAnsi="Cambria"/>
          <w:lang w:val="sv-SE"/>
        </w:rPr>
        <w:t>styre, som pekar</w:t>
      </w:r>
      <w:r w:rsidR="00A85F94">
        <w:rPr>
          <w:rFonts w:ascii="Cambria" w:hAnsi="Cambria"/>
          <w:lang w:val="sv-SE"/>
        </w:rPr>
        <w:t xml:space="preserve"> </w:t>
      </w:r>
      <w:r w:rsidR="00851892">
        <w:rPr>
          <w:rFonts w:ascii="Cambria" w:hAnsi="Cambria"/>
          <w:lang w:val="sv-SE"/>
        </w:rPr>
        <w:t>på</w:t>
      </w:r>
      <w:r w:rsidR="00A85F94">
        <w:rPr>
          <w:rFonts w:ascii="Cambria" w:hAnsi="Cambria"/>
          <w:lang w:val="sv-SE"/>
        </w:rPr>
        <w:t xml:space="preserve"> att man har haft en hög kostnadsutveckling</w:t>
      </w:r>
      <w:r w:rsidR="00851892">
        <w:rPr>
          <w:rFonts w:ascii="Cambria" w:hAnsi="Cambria"/>
          <w:lang w:val="sv-SE"/>
        </w:rPr>
        <w:t xml:space="preserve"> och att det råder osäkerhet om rätt vårdnivå för personer med olika former av utmattning och smärta</w:t>
      </w:r>
      <w:r w:rsidR="00A85F94">
        <w:rPr>
          <w:rFonts w:ascii="Cambria" w:hAnsi="Cambria"/>
          <w:lang w:val="sv-SE"/>
        </w:rPr>
        <w:t>.</w:t>
      </w:r>
      <w:r w:rsidR="00851892">
        <w:rPr>
          <w:rFonts w:ascii="Cambria" w:hAnsi="Cambria"/>
          <w:lang w:val="sv-SE"/>
        </w:rPr>
        <w:t xml:space="preserve"> Givet att evidensläget kring diagnosticering och behandling är osäkert</w:t>
      </w:r>
      <w:r w:rsidR="0083445C">
        <w:rPr>
          <w:rFonts w:ascii="Cambria" w:hAnsi="Cambria"/>
          <w:lang w:val="sv-SE"/>
        </w:rPr>
        <w:t xml:space="preserve"> menar </w:t>
      </w:r>
      <w:r w:rsidR="00851892">
        <w:rPr>
          <w:rFonts w:ascii="Cambria" w:hAnsi="Cambria"/>
          <w:lang w:val="sv-SE"/>
        </w:rPr>
        <w:t xml:space="preserve">man att </w:t>
      </w:r>
      <w:r w:rsidR="00F61B3D">
        <w:rPr>
          <w:rFonts w:ascii="Cambria" w:hAnsi="Cambria"/>
          <w:lang w:val="sv-SE"/>
        </w:rPr>
        <w:t xml:space="preserve">detta </w:t>
      </w:r>
      <w:r w:rsidR="00851892">
        <w:rPr>
          <w:rFonts w:ascii="Cambria" w:hAnsi="Cambria"/>
          <w:lang w:val="sv-SE"/>
        </w:rPr>
        <w:t xml:space="preserve">vårdval är </w:t>
      </w:r>
      <w:r w:rsidR="00F61B3D">
        <w:rPr>
          <w:rFonts w:ascii="Cambria" w:hAnsi="Cambria"/>
          <w:lang w:val="sv-SE"/>
        </w:rPr>
        <w:t>o</w:t>
      </w:r>
      <w:r w:rsidR="00851892">
        <w:rPr>
          <w:rFonts w:ascii="Cambria" w:hAnsi="Cambria"/>
          <w:lang w:val="sv-SE"/>
        </w:rPr>
        <w:t>lämpligt (</w:t>
      </w:r>
      <w:r w:rsidR="00851892" w:rsidRPr="00851892">
        <w:rPr>
          <w:rFonts w:ascii="Cambria" w:hAnsi="Cambria"/>
          <w:lang w:val="sv-SE"/>
        </w:rPr>
        <w:t>Arnell-</w:t>
      </w:r>
      <w:proofErr w:type="spellStart"/>
      <w:r w:rsidR="00851892" w:rsidRPr="00851892">
        <w:rPr>
          <w:rFonts w:ascii="Cambria" w:hAnsi="Cambria"/>
          <w:lang w:val="sv-SE"/>
        </w:rPr>
        <w:t>Szurkos</w:t>
      </w:r>
      <w:proofErr w:type="spellEnd"/>
      <w:r w:rsidR="00851892">
        <w:rPr>
          <w:rFonts w:ascii="Cambria" w:hAnsi="Cambria"/>
          <w:lang w:val="sv-SE"/>
        </w:rPr>
        <w:t xml:space="preserve"> 2023; </w:t>
      </w:r>
      <w:r w:rsidR="00280BFB" w:rsidRPr="00280BFB">
        <w:rPr>
          <w:rFonts w:ascii="Cambria" w:hAnsi="Cambria"/>
          <w:lang w:val="sv-SE"/>
        </w:rPr>
        <w:t xml:space="preserve">HSN </w:t>
      </w:r>
      <w:proofErr w:type="gramStart"/>
      <w:r w:rsidR="00345555">
        <w:rPr>
          <w:rFonts w:ascii="Cambria" w:hAnsi="Cambria"/>
          <w:lang w:val="sv-SE"/>
        </w:rPr>
        <w:t>2022-0525</w:t>
      </w:r>
      <w:proofErr w:type="gramEnd"/>
      <w:r w:rsidR="00280BFB">
        <w:rPr>
          <w:rFonts w:ascii="Cambria" w:hAnsi="Cambria"/>
          <w:lang w:val="sv-SE"/>
        </w:rPr>
        <w:t>).</w:t>
      </w:r>
    </w:p>
    <w:p w14:paraId="11301EB8" w14:textId="77777777" w:rsidR="005A6193" w:rsidRDefault="005A6193" w:rsidP="002B71DE">
      <w:pPr>
        <w:jc w:val="both"/>
        <w:rPr>
          <w:rFonts w:ascii="Cambria" w:hAnsi="Cambria"/>
          <w:lang w:val="sv-SE"/>
        </w:rPr>
      </w:pPr>
    </w:p>
    <w:p w14:paraId="15BCA4BF" w14:textId="55286E3B" w:rsidR="002E3217" w:rsidRDefault="00767630" w:rsidP="002B71DE">
      <w:pPr>
        <w:jc w:val="both"/>
        <w:rPr>
          <w:rFonts w:ascii="Cambria" w:hAnsi="Cambria"/>
          <w:lang w:val="sv-SE"/>
        </w:rPr>
      </w:pPr>
      <w:r>
        <w:rPr>
          <w:rFonts w:ascii="Cambria" w:hAnsi="Cambria"/>
          <w:lang w:val="sv-SE"/>
        </w:rPr>
        <w:t>V</w:t>
      </w:r>
      <w:r w:rsidR="009D79B8">
        <w:rPr>
          <w:rFonts w:ascii="Cambria" w:hAnsi="Cambria"/>
          <w:lang w:val="sv-SE"/>
        </w:rPr>
        <w:t xml:space="preserve">årdvalen inom geriatrik, ätstörningsvården, </w:t>
      </w:r>
      <w:r w:rsidR="005D7D91">
        <w:rPr>
          <w:rFonts w:ascii="Cambria" w:hAnsi="Cambria"/>
          <w:lang w:val="sv-SE"/>
        </w:rPr>
        <w:t>specialiserad hudvård och specialiserad neurologi</w:t>
      </w:r>
      <w:r>
        <w:rPr>
          <w:rFonts w:ascii="Cambria" w:hAnsi="Cambria"/>
          <w:lang w:val="sv-SE"/>
        </w:rPr>
        <w:t xml:space="preserve"> ska också läggas ner</w:t>
      </w:r>
      <w:r w:rsidR="005D7D91">
        <w:rPr>
          <w:rFonts w:ascii="Cambria" w:hAnsi="Cambria"/>
          <w:lang w:val="sv-SE"/>
        </w:rPr>
        <w:t xml:space="preserve">. </w:t>
      </w:r>
      <w:r>
        <w:rPr>
          <w:rFonts w:ascii="Cambria" w:hAnsi="Cambria"/>
          <w:lang w:val="sv-SE"/>
        </w:rPr>
        <w:t>Det</w:t>
      </w:r>
      <w:r w:rsidR="002E3217">
        <w:rPr>
          <w:rFonts w:ascii="Cambria" w:hAnsi="Cambria"/>
          <w:lang w:val="sv-SE"/>
        </w:rPr>
        <w:t xml:space="preserve"> råder alltså ingen</w:t>
      </w:r>
      <w:r w:rsidR="00970DE1">
        <w:rPr>
          <w:rFonts w:ascii="Cambria" w:hAnsi="Cambria"/>
          <w:lang w:val="sv-SE"/>
        </w:rPr>
        <w:t xml:space="preserve"> </w:t>
      </w:r>
      <w:r w:rsidR="002E3217">
        <w:rPr>
          <w:rFonts w:ascii="Cambria" w:hAnsi="Cambria"/>
          <w:lang w:val="sv-SE"/>
        </w:rPr>
        <w:t xml:space="preserve">tvekan om att </w:t>
      </w:r>
      <w:r w:rsidR="009B328C">
        <w:rPr>
          <w:rFonts w:ascii="Cambria" w:hAnsi="Cambria"/>
          <w:lang w:val="sv-SE"/>
        </w:rPr>
        <w:t>R</w:t>
      </w:r>
      <w:r w:rsidR="002E3217">
        <w:rPr>
          <w:rFonts w:ascii="Cambria" w:hAnsi="Cambria"/>
          <w:lang w:val="sv-SE"/>
        </w:rPr>
        <w:t xml:space="preserve">egion Stockholm har påbörjat en </w:t>
      </w:r>
      <w:r>
        <w:rPr>
          <w:rFonts w:ascii="Cambria" w:hAnsi="Cambria"/>
          <w:lang w:val="sv-SE"/>
        </w:rPr>
        <w:t xml:space="preserve">stor </w:t>
      </w:r>
      <w:r w:rsidR="002E3217">
        <w:rPr>
          <w:rFonts w:ascii="Cambria" w:hAnsi="Cambria"/>
          <w:lang w:val="sv-SE"/>
        </w:rPr>
        <w:t xml:space="preserve">omställning </w:t>
      </w:r>
      <w:r w:rsidR="00367A4A">
        <w:rPr>
          <w:rFonts w:ascii="Cambria" w:hAnsi="Cambria"/>
          <w:lang w:val="sv-SE"/>
        </w:rPr>
        <w:t>med målsättning att</w:t>
      </w:r>
      <w:r w:rsidR="002E3217">
        <w:rPr>
          <w:rFonts w:ascii="Cambria" w:hAnsi="Cambria"/>
          <w:lang w:val="sv-SE"/>
        </w:rPr>
        <w:t xml:space="preserve"> minska den privata sektorns roll inom vården</w:t>
      </w:r>
      <w:r>
        <w:rPr>
          <w:rFonts w:ascii="Cambria" w:hAnsi="Cambria"/>
          <w:lang w:val="sv-SE"/>
        </w:rPr>
        <w:t xml:space="preserve">. Enligt finansborgarrådet Aida </w:t>
      </w:r>
      <w:proofErr w:type="spellStart"/>
      <w:r w:rsidRPr="00E4663C">
        <w:rPr>
          <w:rFonts w:ascii="Cambria" w:hAnsi="Cambria"/>
          <w:lang w:val="sv-SE"/>
        </w:rPr>
        <w:t>Hadžialić</w:t>
      </w:r>
      <w:proofErr w:type="spellEnd"/>
      <w:r>
        <w:rPr>
          <w:rFonts w:ascii="Cambria" w:hAnsi="Cambria"/>
          <w:lang w:val="sv-SE"/>
        </w:rPr>
        <w:t xml:space="preserve"> utgör </w:t>
      </w:r>
      <w:r w:rsidR="00367A4A">
        <w:rPr>
          <w:rFonts w:ascii="Cambria" w:hAnsi="Cambria"/>
          <w:lang w:val="sv-SE"/>
        </w:rPr>
        <w:t>omställning</w:t>
      </w:r>
      <w:r>
        <w:rPr>
          <w:rFonts w:ascii="Cambria" w:hAnsi="Cambria"/>
          <w:lang w:val="sv-SE"/>
        </w:rPr>
        <w:t xml:space="preserve">en, som </w:t>
      </w:r>
      <w:proofErr w:type="gramStart"/>
      <w:r>
        <w:rPr>
          <w:rFonts w:ascii="Cambria" w:hAnsi="Cambria"/>
          <w:lang w:val="sv-SE"/>
        </w:rPr>
        <w:t xml:space="preserve">sagt, </w:t>
      </w:r>
      <w:r w:rsidR="002E3217">
        <w:rPr>
          <w:rFonts w:ascii="Cambria" w:hAnsi="Cambria"/>
          <w:lang w:val="sv-SE"/>
        </w:rPr>
        <w:t xml:space="preserve"> ett</w:t>
      </w:r>
      <w:proofErr w:type="gramEnd"/>
      <w:r w:rsidR="002E3217">
        <w:rPr>
          <w:rFonts w:ascii="Cambria" w:hAnsi="Cambria"/>
          <w:lang w:val="sv-SE"/>
        </w:rPr>
        <w:t xml:space="preserve"> ”paradigmskifte”</w:t>
      </w:r>
      <w:r w:rsidR="007E26C7">
        <w:rPr>
          <w:rFonts w:ascii="Cambria" w:hAnsi="Cambria"/>
          <w:lang w:val="sv-SE"/>
        </w:rPr>
        <w:t xml:space="preserve">. </w:t>
      </w:r>
      <w:r>
        <w:rPr>
          <w:rFonts w:ascii="Cambria" w:hAnsi="Cambria"/>
          <w:lang w:val="sv-SE"/>
        </w:rPr>
        <w:t>Det finns en i</w:t>
      </w:r>
      <w:r w:rsidR="007E26C7">
        <w:rPr>
          <w:rFonts w:ascii="Cambria" w:hAnsi="Cambria"/>
          <w:lang w:val="sv-SE"/>
        </w:rPr>
        <w:t xml:space="preserve">dé </w:t>
      </w:r>
      <w:r>
        <w:rPr>
          <w:rFonts w:ascii="Cambria" w:hAnsi="Cambria"/>
          <w:lang w:val="sv-SE"/>
        </w:rPr>
        <w:t>om</w:t>
      </w:r>
      <w:r w:rsidR="007E26C7">
        <w:rPr>
          <w:rFonts w:ascii="Cambria" w:hAnsi="Cambria"/>
          <w:lang w:val="sv-SE"/>
        </w:rPr>
        <w:t xml:space="preserve"> att göra Stockholm till ett skyltfönster för vad </w:t>
      </w:r>
      <w:r w:rsidR="007E26C7">
        <w:rPr>
          <w:rFonts w:ascii="Cambria" w:hAnsi="Cambria"/>
          <w:lang w:val="sv-SE"/>
        </w:rPr>
        <w:lastRenderedPageBreak/>
        <w:t xml:space="preserve">Socialdemokraterna vill uppnå mer generellt genom att ”ta tillbaka den demokratiska kontrollen” över </w:t>
      </w:r>
      <w:r w:rsidR="00970DE1">
        <w:rPr>
          <w:rFonts w:ascii="Cambria" w:hAnsi="Cambria"/>
          <w:lang w:val="sv-SE"/>
        </w:rPr>
        <w:t>välfärden</w:t>
      </w:r>
      <w:r w:rsidR="002E3217">
        <w:rPr>
          <w:rFonts w:ascii="Cambria" w:hAnsi="Cambria"/>
          <w:lang w:val="sv-SE"/>
        </w:rPr>
        <w:t xml:space="preserve"> (Nordenskiöld 2024).</w:t>
      </w:r>
    </w:p>
    <w:p w14:paraId="02609390" w14:textId="56CD00DC" w:rsidR="0050303A" w:rsidRDefault="00A673B6" w:rsidP="00392C59">
      <w:pPr>
        <w:jc w:val="both"/>
        <w:rPr>
          <w:rFonts w:ascii="Cambria" w:hAnsi="Cambria"/>
          <w:lang w:val="sv-SE"/>
        </w:rPr>
      </w:pPr>
      <w:r>
        <w:rPr>
          <w:rFonts w:ascii="Cambria" w:hAnsi="Cambria"/>
          <w:lang w:val="sv-SE"/>
        </w:rPr>
        <w:t xml:space="preserve"> </w:t>
      </w:r>
    </w:p>
    <w:p w14:paraId="0A073BCA" w14:textId="77777777" w:rsidR="0025495C" w:rsidRDefault="0025495C" w:rsidP="00392C59">
      <w:pPr>
        <w:jc w:val="both"/>
        <w:rPr>
          <w:rFonts w:ascii="Cambria" w:hAnsi="Cambria"/>
          <w:lang w:val="sv-SE"/>
        </w:rPr>
      </w:pPr>
    </w:p>
    <w:p w14:paraId="1A9F45C4" w14:textId="77777777" w:rsidR="0025495C" w:rsidRDefault="0025495C" w:rsidP="00392C59">
      <w:pPr>
        <w:jc w:val="both"/>
        <w:rPr>
          <w:rFonts w:ascii="Cambria" w:hAnsi="Cambria"/>
          <w:lang w:val="sv-SE"/>
        </w:rPr>
      </w:pPr>
    </w:p>
    <w:p w14:paraId="1726860B" w14:textId="11A6EC5B" w:rsidR="009B2232" w:rsidRDefault="009B2232" w:rsidP="009B2232">
      <w:pPr>
        <w:rPr>
          <w:lang w:val="sv-SE" w:eastAsia="en-US"/>
        </w:rPr>
      </w:pPr>
    </w:p>
    <w:p w14:paraId="4AF16575" w14:textId="77777777" w:rsidR="00FF7DBE" w:rsidRDefault="00FF7DBE" w:rsidP="009B2232">
      <w:pPr>
        <w:rPr>
          <w:lang w:val="sv-SE" w:eastAsia="en-US"/>
        </w:rPr>
      </w:pPr>
    </w:p>
    <w:p w14:paraId="6657F3E7" w14:textId="77777777" w:rsidR="009142DA" w:rsidRDefault="009142DA" w:rsidP="009B2232">
      <w:pPr>
        <w:rPr>
          <w:lang w:val="sv-SE" w:eastAsia="en-US"/>
        </w:rPr>
      </w:pPr>
    </w:p>
    <w:p w14:paraId="336D06F4" w14:textId="6C1D5658" w:rsidR="002748C1" w:rsidRPr="005A394A" w:rsidRDefault="002748C1" w:rsidP="005B0E27">
      <w:pPr>
        <w:jc w:val="both"/>
        <w:rPr>
          <w:rFonts w:ascii="Cambria" w:hAnsi="Cambria"/>
          <w:lang w:val="sv-SE"/>
        </w:rPr>
      </w:pPr>
    </w:p>
    <w:p w14:paraId="032E9DB9" w14:textId="0350F3F9" w:rsidR="00B9244B" w:rsidRPr="005A394A" w:rsidRDefault="00B9244B" w:rsidP="00C50B98">
      <w:pPr>
        <w:jc w:val="both"/>
        <w:rPr>
          <w:rFonts w:ascii="Cambria" w:hAnsi="Cambria"/>
          <w:lang w:val="sv-SE"/>
        </w:rPr>
      </w:pPr>
      <w:r w:rsidRPr="005A394A">
        <w:rPr>
          <w:rFonts w:ascii="Cambria" w:hAnsi="Cambria"/>
          <w:lang w:val="sv-SE"/>
        </w:rPr>
        <w:br w:type="page"/>
      </w:r>
    </w:p>
    <w:p w14:paraId="4AF4CCAD" w14:textId="75B33FE1" w:rsidR="008058E3" w:rsidRPr="005A394A" w:rsidRDefault="00934D75" w:rsidP="005D47D0">
      <w:pPr>
        <w:pStyle w:val="Rubrik1"/>
        <w:numPr>
          <w:ilvl w:val="0"/>
          <w:numId w:val="2"/>
        </w:numPr>
        <w:tabs>
          <w:tab w:val="left" w:pos="4100"/>
        </w:tabs>
        <w:spacing w:before="0"/>
        <w:jc w:val="both"/>
        <w:rPr>
          <w:rFonts w:ascii="Cambria" w:hAnsi="Cambria"/>
          <w:sz w:val="24"/>
          <w:szCs w:val="24"/>
        </w:rPr>
      </w:pPr>
      <w:bookmarkStart w:id="3" w:name="_Toc164353519"/>
      <w:r>
        <w:rPr>
          <w:rFonts w:ascii="Cambria" w:hAnsi="Cambria"/>
          <w:sz w:val="24"/>
          <w:szCs w:val="24"/>
        </w:rPr>
        <w:lastRenderedPageBreak/>
        <w:t>Underlag för beslut</w:t>
      </w:r>
      <w:bookmarkEnd w:id="3"/>
    </w:p>
    <w:p w14:paraId="2B7ED86B" w14:textId="77777777" w:rsidR="008058E3" w:rsidRPr="005A394A" w:rsidRDefault="008058E3" w:rsidP="00C769A6">
      <w:pPr>
        <w:jc w:val="both"/>
        <w:rPr>
          <w:rFonts w:ascii="Cambria" w:hAnsi="Cambria"/>
          <w:b/>
          <w:lang w:val="sv-SE"/>
        </w:rPr>
      </w:pPr>
    </w:p>
    <w:p w14:paraId="4665AA4D" w14:textId="0F721A0C" w:rsidR="00A052EE" w:rsidRDefault="009231EE" w:rsidP="005D47D0">
      <w:pPr>
        <w:jc w:val="both"/>
        <w:rPr>
          <w:rFonts w:ascii="Cambria" w:hAnsi="Cambria"/>
          <w:lang w:val="sv-SE"/>
        </w:rPr>
      </w:pPr>
      <w:r>
        <w:rPr>
          <w:rFonts w:ascii="Cambria" w:hAnsi="Cambria"/>
          <w:lang w:val="sv-SE"/>
        </w:rPr>
        <w:t xml:space="preserve">Som noteras i föregående avsnitt finns det flera motiveringar bakom det politiska styrets beslut att återta drift av olika slags vård i egen regi samt att överge ett antal vårdval till </w:t>
      </w:r>
      <w:r w:rsidR="006F0606">
        <w:rPr>
          <w:rFonts w:ascii="Cambria" w:hAnsi="Cambria"/>
          <w:lang w:val="sv-SE"/>
        </w:rPr>
        <w:t xml:space="preserve">förmån </w:t>
      </w:r>
      <w:r>
        <w:rPr>
          <w:rFonts w:ascii="Cambria" w:hAnsi="Cambria"/>
          <w:lang w:val="sv-SE"/>
        </w:rPr>
        <w:t xml:space="preserve">för upphandling. </w:t>
      </w:r>
      <w:r w:rsidR="00A052EE">
        <w:rPr>
          <w:rFonts w:ascii="Cambria" w:hAnsi="Cambria"/>
          <w:lang w:val="sv-SE"/>
        </w:rPr>
        <w:t xml:space="preserve">Exakt vilka saker man pekar på varierar </w:t>
      </w:r>
      <w:r w:rsidR="004B3AE1">
        <w:rPr>
          <w:rFonts w:ascii="Cambria" w:hAnsi="Cambria"/>
          <w:lang w:val="sv-SE"/>
        </w:rPr>
        <w:t xml:space="preserve">något </w:t>
      </w:r>
      <w:r w:rsidR="00A052EE">
        <w:rPr>
          <w:rFonts w:ascii="Cambria" w:hAnsi="Cambria"/>
          <w:lang w:val="sv-SE"/>
        </w:rPr>
        <w:t>mellan de olika besluten, men över lag kan målsättningarna sammanfattas enligt nedan:</w:t>
      </w:r>
    </w:p>
    <w:p w14:paraId="3B42576B" w14:textId="77777777" w:rsidR="00A052EE" w:rsidRDefault="00A052EE" w:rsidP="005D47D0">
      <w:pPr>
        <w:jc w:val="both"/>
        <w:rPr>
          <w:rFonts w:ascii="Cambria" w:hAnsi="Cambria"/>
          <w:lang w:val="sv-SE"/>
        </w:rPr>
      </w:pPr>
    </w:p>
    <w:p w14:paraId="264D3A45" w14:textId="232117CD" w:rsidR="00A052EE" w:rsidRDefault="00A052EE" w:rsidP="00A052EE">
      <w:pPr>
        <w:pStyle w:val="Liststycke"/>
        <w:numPr>
          <w:ilvl w:val="0"/>
          <w:numId w:val="29"/>
        </w:numPr>
        <w:jc w:val="both"/>
        <w:rPr>
          <w:rFonts w:ascii="Cambria" w:hAnsi="Cambria"/>
        </w:rPr>
      </w:pPr>
      <w:r>
        <w:rPr>
          <w:rFonts w:ascii="Cambria" w:hAnsi="Cambria"/>
        </w:rPr>
        <w:t>Kostnadskontroll och minska</w:t>
      </w:r>
      <w:r w:rsidR="004B3AE1">
        <w:rPr>
          <w:rFonts w:ascii="Cambria" w:hAnsi="Cambria"/>
        </w:rPr>
        <w:t>d</w:t>
      </w:r>
      <w:r>
        <w:rPr>
          <w:rFonts w:ascii="Cambria" w:hAnsi="Cambria"/>
        </w:rPr>
        <w:t xml:space="preserve"> överkonsumtion</w:t>
      </w:r>
    </w:p>
    <w:p w14:paraId="160D7F8B" w14:textId="74D015BB" w:rsidR="00A052EE" w:rsidRDefault="00A052EE" w:rsidP="00A052EE">
      <w:pPr>
        <w:pStyle w:val="Liststycke"/>
        <w:numPr>
          <w:ilvl w:val="0"/>
          <w:numId w:val="29"/>
        </w:numPr>
        <w:jc w:val="both"/>
        <w:rPr>
          <w:rFonts w:ascii="Cambria" w:hAnsi="Cambria"/>
        </w:rPr>
      </w:pPr>
      <w:r>
        <w:rPr>
          <w:rFonts w:ascii="Cambria" w:hAnsi="Cambria"/>
        </w:rPr>
        <w:t>Höj</w:t>
      </w:r>
      <w:r w:rsidR="004B3AE1">
        <w:rPr>
          <w:rFonts w:ascii="Cambria" w:hAnsi="Cambria"/>
        </w:rPr>
        <w:t>d</w:t>
      </w:r>
      <w:r>
        <w:rPr>
          <w:rFonts w:ascii="Cambria" w:hAnsi="Cambria"/>
        </w:rPr>
        <w:t xml:space="preserve"> kvalitet</w:t>
      </w:r>
    </w:p>
    <w:p w14:paraId="021AC9A6" w14:textId="4299B7D7" w:rsidR="00A052EE" w:rsidRDefault="00A052EE" w:rsidP="00A052EE">
      <w:pPr>
        <w:pStyle w:val="Liststycke"/>
        <w:numPr>
          <w:ilvl w:val="0"/>
          <w:numId w:val="29"/>
        </w:numPr>
        <w:jc w:val="both"/>
        <w:rPr>
          <w:rFonts w:ascii="Cambria" w:hAnsi="Cambria"/>
        </w:rPr>
      </w:pPr>
      <w:r>
        <w:rPr>
          <w:rFonts w:ascii="Cambria" w:hAnsi="Cambria"/>
        </w:rPr>
        <w:t xml:space="preserve">Mer jämlik, behovsstyrd vård </w:t>
      </w:r>
    </w:p>
    <w:p w14:paraId="7CD475A4" w14:textId="03825D06" w:rsidR="00A052EE" w:rsidRPr="00A052EE" w:rsidRDefault="00A052EE" w:rsidP="00A052EE">
      <w:pPr>
        <w:pStyle w:val="Liststycke"/>
        <w:numPr>
          <w:ilvl w:val="0"/>
          <w:numId w:val="29"/>
        </w:numPr>
        <w:jc w:val="both"/>
        <w:rPr>
          <w:rFonts w:ascii="Cambria" w:hAnsi="Cambria"/>
        </w:rPr>
      </w:pPr>
      <w:r>
        <w:rPr>
          <w:rFonts w:ascii="Cambria" w:hAnsi="Cambria"/>
        </w:rPr>
        <w:t xml:space="preserve">Beredskapsskäl </w:t>
      </w:r>
    </w:p>
    <w:p w14:paraId="3B510815" w14:textId="77777777" w:rsidR="00A052EE" w:rsidRDefault="00A052EE" w:rsidP="005D47D0">
      <w:pPr>
        <w:jc w:val="both"/>
        <w:rPr>
          <w:rFonts w:ascii="Cambria" w:hAnsi="Cambria"/>
          <w:lang w:val="sv-SE"/>
        </w:rPr>
      </w:pPr>
    </w:p>
    <w:p w14:paraId="35BCCB46" w14:textId="01E9FEBC" w:rsidR="00E21C89" w:rsidRDefault="004B3AE1" w:rsidP="005D47D0">
      <w:pPr>
        <w:jc w:val="both"/>
        <w:rPr>
          <w:rFonts w:ascii="Cambria" w:hAnsi="Cambria"/>
          <w:lang w:val="sv-SE"/>
        </w:rPr>
      </w:pPr>
      <w:r>
        <w:rPr>
          <w:rFonts w:ascii="Cambria" w:hAnsi="Cambria"/>
          <w:lang w:val="sv-SE"/>
        </w:rPr>
        <w:t xml:space="preserve">Frågan är dock om de föreslagna förändringarna kommer att leda till att dessa målsättningar uppnås. Evidensen är oklar både när det gäller utpekade tillkortakommanden och möjligheten att förbättra situationen med hjälp av den pågående omställningen. </w:t>
      </w:r>
    </w:p>
    <w:p w14:paraId="160C309A" w14:textId="77777777" w:rsidR="00B55962" w:rsidRDefault="00B55962" w:rsidP="005D47D0">
      <w:pPr>
        <w:jc w:val="both"/>
        <w:rPr>
          <w:rFonts w:ascii="Cambria" w:hAnsi="Cambria"/>
          <w:lang w:val="sv-SE"/>
        </w:rPr>
      </w:pPr>
    </w:p>
    <w:p w14:paraId="2C584A4A" w14:textId="4DE97179" w:rsidR="008D3618" w:rsidRDefault="006F0606" w:rsidP="008D3618">
      <w:pPr>
        <w:jc w:val="both"/>
        <w:rPr>
          <w:rFonts w:ascii="Cambria" w:hAnsi="Cambria"/>
          <w:lang w:val="sv-SE"/>
        </w:rPr>
      </w:pPr>
      <w:r>
        <w:rPr>
          <w:rFonts w:ascii="Cambria" w:hAnsi="Cambria"/>
          <w:lang w:val="sv-SE"/>
        </w:rPr>
        <w:t xml:space="preserve">Sedan den rödgröna koalitionen tog över makten 2022 har inga </w:t>
      </w:r>
      <w:r w:rsidR="008D3618">
        <w:rPr>
          <w:rFonts w:ascii="Cambria" w:hAnsi="Cambria"/>
          <w:lang w:val="sv-SE"/>
        </w:rPr>
        <w:t>regelrätta konsvekensanalyser</w:t>
      </w:r>
      <w:r>
        <w:rPr>
          <w:rFonts w:ascii="Cambria" w:hAnsi="Cambria"/>
          <w:lang w:val="sv-SE"/>
        </w:rPr>
        <w:t xml:space="preserve"> presenterats</w:t>
      </w:r>
      <w:r w:rsidR="008D3618">
        <w:rPr>
          <w:rFonts w:ascii="Cambria" w:hAnsi="Cambria"/>
          <w:lang w:val="sv-SE"/>
        </w:rPr>
        <w:t xml:space="preserve">. </w:t>
      </w:r>
      <w:r w:rsidR="00397F6C">
        <w:rPr>
          <w:rFonts w:ascii="Cambria" w:hAnsi="Cambria"/>
          <w:lang w:val="sv-SE"/>
        </w:rPr>
        <w:t xml:space="preserve">Som vi nämnde i avsnitt 2 </w:t>
      </w:r>
      <w:r w:rsidR="00BC0744">
        <w:rPr>
          <w:rFonts w:ascii="Cambria" w:hAnsi="Cambria"/>
          <w:lang w:val="sv-SE"/>
        </w:rPr>
        <w:t xml:space="preserve">genomfördes </w:t>
      </w:r>
      <w:r w:rsidR="00397F6C">
        <w:rPr>
          <w:rFonts w:ascii="Cambria" w:hAnsi="Cambria"/>
          <w:lang w:val="sv-SE"/>
        </w:rPr>
        <w:t>en utredning av</w:t>
      </w:r>
      <w:r w:rsidR="008D3618">
        <w:rPr>
          <w:rFonts w:ascii="Cambria" w:hAnsi="Cambria"/>
          <w:lang w:val="sv-SE"/>
        </w:rPr>
        <w:t xml:space="preserve"> vårdvalet för specialiserad rehabilitering vid utmattningssyndrom och långvarig smärta under det borgerliga regionstyret mellan 2018 och 2022. Denna utredning (</w:t>
      </w:r>
      <w:r w:rsidR="008D3618" w:rsidRPr="00280BFB">
        <w:rPr>
          <w:rFonts w:ascii="Cambria" w:hAnsi="Cambria"/>
          <w:lang w:val="sv-SE"/>
        </w:rPr>
        <w:t xml:space="preserve">HSN </w:t>
      </w:r>
      <w:proofErr w:type="gramStart"/>
      <w:r w:rsidR="008D3618">
        <w:rPr>
          <w:rFonts w:ascii="Cambria" w:hAnsi="Cambria"/>
          <w:lang w:val="sv-SE"/>
        </w:rPr>
        <w:t>2022-0525</w:t>
      </w:r>
      <w:proofErr w:type="gramEnd"/>
      <w:r w:rsidR="008D3618">
        <w:rPr>
          <w:rFonts w:ascii="Cambria" w:hAnsi="Cambria"/>
          <w:lang w:val="sv-SE"/>
        </w:rPr>
        <w:t>) lyfter fram de speciella utmaningar som förelägger vid r</w:t>
      </w:r>
      <w:r w:rsidR="008D3618" w:rsidRPr="000307B5">
        <w:rPr>
          <w:rFonts w:ascii="Cambria" w:hAnsi="Cambria"/>
          <w:lang w:val="sv-SE"/>
        </w:rPr>
        <w:t>ehabilitering</w:t>
      </w:r>
      <w:r w:rsidR="008D3618">
        <w:rPr>
          <w:rFonts w:ascii="Cambria" w:hAnsi="Cambria"/>
          <w:lang w:val="sv-SE"/>
        </w:rPr>
        <w:t xml:space="preserve"> </w:t>
      </w:r>
      <w:r w:rsidR="008D3618" w:rsidRPr="000307B5">
        <w:rPr>
          <w:rFonts w:ascii="Cambria" w:hAnsi="Cambria"/>
          <w:lang w:val="sv-SE"/>
        </w:rPr>
        <w:t xml:space="preserve">vid långvarig smärta och </w:t>
      </w:r>
      <w:r w:rsidR="008D3618">
        <w:rPr>
          <w:rFonts w:ascii="Cambria" w:hAnsi="Cambria"/>
          <w:lang w:val="sv-SE"/>
        </w:rPr>
        <w:t>utmattningssyndrom samt ME/CFS-diagnoser.</w:t>
      </w:r>
      <w:r w:rsidR="008D3618">
        <w:rPr>
          <w:rStyle w:val="Fotnotsreferens"/>
          <w:rFonts w:ascii="Cambria" w:hAnsi="Cambria"/>
          <w:lang w:val="sv-SE"/>
        </w:rPr>
        <w:footnoteReference w:id="2"/>
      </w:r>
      <w:r w:rsidR="008D3618">
        <w:rPr>
          <w:rFonts w:ascii="Cambria" w:hAnsi="Cambria"/>
          <w:lang w:val="sv-SE"/>
        </w:rPr>
        <w:t xml:space="preserve"> Det är en relativt omfattande utredning som bland annat bygger på dialoger med vårdgivare och regioner, interna data från vårdgivarnas rapportering, samt kontakter med patientorganisationer. Utredningen innehåller kvalificerade bedömningar och analyser. </w:t>
      </w:r>
      <w:r w:rsidR="00A6191D">
        <w:rPr>
          <w:rFonts w:ascii="Cambria" w:hAnsi="Cambria"/>
          <w:lang w:val="sv-SE"/>
        </w:rPr>
        <w:t>Men ä</w:t>
      </w:r>
      <w:r w:rsidR="008D3618">
        <w:rPr>
          <w:rFonts w:ascii="Cambria" w:hAnsi="Cambria"/>
          <w:lang w:val="sv-SE"/>
        </w:rPr>
        <w:t>ven om nuvarande organisering av denna sjukvård inte nödvändigtvis är den bäst lämpade saknas regelrätta analyser av vårdvalets kausala effekter och tillhörande konsekvensanalyser för de möjliga vägvalen.</w:t>
      </w:r>
    </w:p>
    <w:p w14:paraId="0470D66A" w14:textId="77777777" w:rsidR="00573208" w:rsidRDefault="00573208" w:rsidP="005D47D0">
      <w:pPr>
        <w:jc w:val="both"/>
        <w:rPr>
          <w:rFonts w:ascii="Cambria" w:hAnsi="Cambria"/>
          <w:lang w:val="sv-SE"/>
        </w:rPr>
      </w:pPr>
    </w:p>
    <w:p w14:paraId="07D1CFF3" w14:textId="2824DA53" w:rsidR="00573208" w:rsidRDefault="00573208" w:rsidP="005D47D0">
      <w:pPr>
        <w:jc w:val="both"/>
        <w:rPr>
          <w:rFonts w:ascii="Cambria" w:hAnsi="Cambria"/>
          <w:lang w:val="sv-SE"/>
        </w:rPr>
      </w:pPr>
      <w:r>
        <w:rPr>
          <w:rFonts w:ascii="Cambria" w:hAnsi="Cambria"/>
          <w:lang w:val="sv-SE"/>
        </w:rPr>
        <w:t xml:space="preserve">I </w:t>
      </w:r>
      <w:r w:rsidR="00FF04BD">
        <w:rPr>
          <w:rFonts w:ascii="Cambria" w:hAnsi="Cambria"/>
          <w:lang w:val="sv-SE"/>
        </w:rPr>
        <w:t xml:space="preserve">det </w:t>
      </w:r>
      <w:r>
        <w:rPr>
          <w:rFonts w:ascii="Cambria" w:hAnsi="Cambria"/>
          <w:lang w:val="sv-SE"/>
        </w:rPr>
        <w:t>tjänsteutlåtande där omställningsplanen</w:t>
      </w:r>
      <w:r w:rsidR="00A512B9">
        <w:rPr>
          <w:rFonts w:ascii="Cambria" w:hAnsi="Cambria"/>
          <w:lang w:val="sv-SE"/>
        </w:rPr>
        <w:t xml:space="preserve"> läggs fram</w:t>
      </w:r>
      <w:r>
        <w:rPr>
          <w:rFonts w:ascii="Cambria" w:hAnsi="Cambria"/>
          <w:lang w:val="sv-SE"/>
        </w:rPr>
        <w:t xml:space="preserve"> </w:t>
      </w:r>
      <w:r w:rsidR="00A512B9">
        <w:rPr>
          <w:rFonts w:ascii="Cambria" w:hAnsi="Cambria"/>
          <w:lang w:val="sv-SE"/>
        </w:rPr>
        <w:t xml:space="preserve">står </w:t>
      </w:r>
      <w:r>
        <w:rPr>
          <w:rFonts w:ascii="Cambria" w:hAnsi="Cambria"/>
          <w:lang w:val="sv-SE"/>
        </w:rPr>
        <w:t xml:space="preserve">under ”Metod och genomförande” att arbetet har genomförts i två etapper under våren 2023: (1) en genomlysning av samtliga vårdval för att identifiera områden med utmaningar, på basis av indikatorer såsom jämlik vård, tillgänglighet och kostnadsutveckling samt (2) fördjupade utredningar för de områden där man identifierat störst utmaningar, i vilka man undersökt möjliga åtgärder för att avgöra om vårdvalet bör revideras eller avskaffas helt och hållet (HSN 2023-0097).  </w:t>
      </w:r>
    </w:p>
    <w:p w14:paraId="3FE0D92B" w14:textId="77777777" w:rsidR="00573208" w:rsidRDefault="00573208" w:rsidP="005D47D0">
      <w:pPr>
        <w:jc w:val="both"/>
        <w:rPr>
          <w:rFonts w:ascii="Cambria" w:hAnsi="Cambria"/>
          <w:lang w:val="sv-SE"/>
        </w:rPr>
      </w:pPr>
    </w:p>
    <w:p w14:paraId="21BB152C" w14:textId="4A53AFEA" w:rsidR="00232270" w:rsidRDefault="00573208" w:rsidP="005D47D0">
      <w:pPr>
        <w:jc w:val="both"/>
        <w:rPr>
          <w:rFonts w:ascii="Cambria" w:hAnsi="Cambria"/>
          <w:lang w:val="sv-SE"/>
        </w:rPr>
      </w:pPr>
      <w:r>
        <w:rPr>
          <w:rFonts w:ascii="Cambria" w:hAnsi="Cambria"/>
          <w:lang w:val="sv-SE"/>
        </w:rPr>
        <w:t xml:space="preserve">För att studera det politiska styrets analyser av de olika områdena begärde vi ut </w:t>
      </w:r>
      <w:r w:rsidR="00B06CE4">
        <w:rPr>
          <w:rFonts w:ascii="Cambria" w:hAnsi="Cambria"/>
          <w:lang w:val="sv-SE"/>
        </w:rPr>
        <w:t xml:space="preserve">allt </w:t>
      </w:r>
      <w:r w:rsidR="00B06CE4" w:rsidRPr="00B06CE4">
        <w:rPr>
          <w:rFonts w:ascii="Cambria" w:hAnsi="Cambria"/>
          <w:lang w:val="sv-SE"/>
        </w:rPr>
        <w:t xml:space="preserve">relevant material, inklusive underliggande analyser, för </w:t>
      </w:r>
      <w:r w:rsidR="008D13E8">
        <w:rPr>
          <w:rFonts w:ascii="Cambria" w:hAnsi="Cambria"/>
          <w:lang w:val="sv-SE"/>
        </w:rPr>
        <w:t>alla</w:t>
      </w:r>
      <w:r w:rsidR="00B06CE4" w:rsidRPr="00B06CE4">
        <w:rPr>
          <w:rFonts w:ascii="Cambria" w:hAnsi="Cambria"/>
          <w:lang w:val="sv-SE"/>
        </w:rPr>
        <w:t xml:space="preserve"> tjänsteutlåtanden och beslut gällande förändringar inom vårdval/upphandling inom hälso- och sjukvård i Region Stockholm</w:t>
      </w:r>
      <w:r w:rsidR="008D13E8">
        <w:rPr>
          <w:rFonts w:ascii="Cambria" w:hAnsi="Cambria"/>
          <w:lang w:val="sv-SE"/>
        </w:rPr>
        <w:t>.</w:t>
      </w:r>
      <w:r w:rsidR="00232270">
        <w:rPr>
          <w:rFonts w:ascii="Cambria" w:hAnsi="Cambria"/>
          <w:lang w:val="sv-SE"/>
        </w:rPr>
        <w:t xml:space="preserve"> Denna beställning ska vara tillräcklig för att ta fram de utredningar och genomlysningar som man refererar till i tjänsteutlåtandet ovan. Men för säkerhets</w:t>
      </w:r>
      <w:r w:rsidR="00421AC8">
        <w:rPr>
          <w:rFonts w:ascii="Cambria" w:hAnsi="Cambria"/>
          <w:lang w:val="sv-SE"/>
        </w:rPr>
        <w:t xml:space="preserve"> </w:t>
      </w:r>
      <w:r w:rsidR="00232270">
        <w:rPr>
          <w:rFonts w:ascii="Cambria" w:hAnsi="Cambria"/>
          <w:lang w:val="sv-SE"/>
        </w:rPr>
        <w:t xml:space="preserve">skull begärde vi också i ett andra steg ut explicit allt material, inklusive underliggande </w:t>
      </w:r>
      <w:r w:rsidR="00232270">
        <w:rPr>
          <w:rFonts w:ascii="Cambria" w:hAnsi="Cambria"/>
          <w:lang w:val="sv-SE"/>
        </w:rPr>
        <w:lastRenderedPageBreak/>
        <w:t>analyser, för den genomlysning och de utredningar som man refererar till i tjänsteutlåtandet</w:t>
      </w:r>
      <w:r w:rsidR="00DC0D8A">
        <w:rPr>
          <w:rFonts w:ascii="Cambria" w:hAnsi="Cambria"/>
          <w:lang w:val="sv-SE"/>
        </w:rPr>
        <w:t>.</w:t>
      </w:r>
    </w:p>
    <w:p w14:paraId="158A26D1" w14:textId="77777777" w:rsidR="00232270" w:rsidRDefault="00232270" w:rsidP="005D47D0">
      <w:pPr>
        <w:jc w:val="both"/>
        <w:rPr>
          <w:rFonts w:ascii="Cambria" w:hAnsi="Cambria"/>
          <w:lang w:val="sv-SE"/>
        </w:rPr>
      </w:pPr>
    </w:p>
    <w:p w14:paraId="774EF923" w14:textId="52480B89" w:rsidR="00CA7DA8" w:rsidRDefault="008D13E8" w:rsidP="005D47D0">
      <w:pPr>
        <w:jc w:val="both"/>
        <w:rPr>
          <w:rFonts w:ascii="Cambria" w:hAnsi="Cambria"/>
          <w:lang w:val="sv-SE"/>
        </w:rPr>
      </w:pPr>
      <w:r>
        <w:rPr>
          <w:rFonts w:ascii="Cambria" w:hAnsi="Cambria"/>
          <w:lang w:val="sv-SE"/>
        </w:rPr>
        <w:t>Det visar sig</w:t>
      </w:r>
      <w:r w:rsidR="003B3A0E">
        <w:rPr>
          <w:rFonts w:ascii="Cambria" w:hAnsi="Cambria"/>
          <w:lang w:val="sv-SE"/>
        </w:rPr>
        <w:t xml:space="preserve"> dock</w:t>
      </w:r>
      <w:r>
        <w:rPr>
          <w:rFonts w:ascii="Cambria" w:hAnsi="Cambria"/>
          <w:lang w:val="sv-SE"/>
        </w:rPr>
        <w:t xml:space="preserve"> att de</w:t>
      </w:r>
      <w:r w:rsidR="00230814">
        <w:rPr>
          <w:rFonts w:ascii="Cambria" w:hAnsi="Cambria"/>
          <w:lang w:val="sv-SE"/>
        </w:rPr>
        <w:t xml:space="preserve">ssa </w:t>
      </w:r>
      <w:r w:rsidR="00735A52">
        <w:rPr>
          <w:rFonts w:ascii="Cambria" w:hAnsi="Cambria"/>
          <w:lang w:val="sv-SE"/>
        </w:rPr>
        <w:t xml:space="preserve">genomlysningar och utredningar </w:t>
      </w:r>
      <w:r w:rsidR="00230814">
        <w:rPr>
          <w:rFonts w:ascii="Cambria" w:hAnsi="Cambria"/>
          <w:lang w:val="sv-SE"/>
        </w:rPr>
        <w:t>inte existerar.</w:t>
      </w:r>
      <w:r w:rsidR="00651A23">
        <w:rPr>
          <w:rStyle w:val="Fotnotsreferens"/>
          <w:rFonts w:ascii="Cambria" w:hAnsi="Cambria"/>
          <w:lang w:val="sv-SE"/>
        </w:rPr>
        <w:footnoteReference w:id="3"/>
      </w:r>
      <w:r w:rsidR="00230814">
        <w:rPr>
          <w:rFonts w:ascii="Cambria" w:hAnsi="Cambria"/>
          <w:lang w:val="sv-SE"/>
        </w:rPr>
        <w:t xml:space="preserve"> Det finns heller inga andra </w:t>
      </w:r>
      <w:r w:rsidR="00D05761">
        <w:rPr>
          <w:rFonts w:ascii="Cambria" w:hAnsi="Cambria"/>
          <w:lang w:val="sv-SE"/>
        </w:rPr>
        <w:t xml:space="preserve">utredningar med </w:t>
      </w:r>
      <w:r w:rsidR="00230814">
        <w:rPr>
          <w:rFonts w:ascii="Cambria" w:hAnsi="Cambria"/>
          <w:lang w:val="sv-SE"/>
        </w:rPr>
        <w:t xml:space="preserve">ordentliga </w:t>
      </w:r>
      <w:r w:rsidR="00D05761">
        <w:rPr>
          <w:rFonts w:ascii="Cambria" w:hAnsi="Cambria"/>
          <w:lang w:val="sv-SE"/>
        </w:rPr>
        <w:t>konsekvensanalyser</w:t>
      </w:r>
      <w:r>
        <w:rPr>
          <w:rFonts w:ascii="Cambria" w:hAnsi="Cambria"/>
          <w:lang w:val="sv-SE"/>
        </w:rPr>
        <w:t xml:space="preserve"> att studera</w:t>
      </w:r>
      <w:r w:rsidR="003B3A0E">
        <w:rPr>
          <w:rFonts w:ascii="Cambria" w:hAnsi="Cambria"/>
          <w:lang w:val="sv-SE"/>
        </w:rPr>
        <w:t xml:space="preserve">. </w:t>
      </w:r>
      <w:r w:rsidR="00491601">
        <w:rPr>
          <w:rFonts w:ascii="Cambria" w:hAnsi="Cambria"/>
          <w:lang w:val="sv-SE"/>
        </w:rPr>
        <w:t>Utredningarna tycks</w:t>
      </w:r>
      <w:r w:rsidR="00427B68">
        <w:rPr>
          <w:rFonts w:ascii="Cambria" w:hAnsi="Cambria"/>
          <w:lang w:val="sv-SE"/>
        </w:rPr>
        <w:t xml:space="preserve"> </w:t>
      </w:r>
      <w:r w:rsidR="00F84BED">
        <w:rPr>
          <w:rFonts w:ascii="Cambria" w:hAnsi="Cambria"/>
          <w:lang w:val="sv-SE"/>
        </w:rPr>
        <w:t>i stället</w:t>
      </w:r>
      <w:r w:rsidR="003B3A0E">
        <w:rPr>
          <w:rFonts w:ascii="Cambria" w:hAnsi="Cambria"/>
          <w:lang w:val="sv-SE"/>
        </w:rPr>
        <w:t xml:space="preserve"> </w:t>
      </w:r>
      <w:r w:rsidR="00491601">
        <w:rPr>
          <w:rFonts w:ascii="Cambria" w:hAnsi="Cambria"/>
          <w:lang w:val="sv-SE"/>
        </w:rPr>
        <w:t xml:space="preserve">framför allt </w:t>
      </w:r>
      <w:r w:rsidR="00427B68">
        <w:rPr>
          <w:rFonts w:ascii="Cambria" w:hAnsi="Cambria"/>
          <w:lang w:val="sv-SE"/>
        </w:rPr>
        <w:t xml:space="preserve">bestå av de </w:t>
      </w:r>
      <w:r w:rsidR="00CA7DA8">
        <w:rPr>
          <w:rFonts w:ascii="Cambria" w:hAnsi="Cambria"/>
          <w:lang w:val="sv-SE"/>
        </w:rPr>
        <w:t xml:space="preserve">korta </w:t>
      </w:r>
      <w:r w:rsidR="00427B68">
        <w:rPr>
          <w:rFonts w:ascii="Cambria" w:hAnsi="Cambria"/>
          <w:lang w:val="sv-SE"/>
        </w:rPr>
        <w:t>motiveringar som anges</w:t>
      </w:r>
      <w:r w:rsidR="003B3A0E">
        <w:rPr>
          <w:rFonts w:ascii="Cambria" w:hAnsi="Cambria"/>
          <w:lang w:val="sv-SE"/>
        </w:rPr>
        <w:t xml:space="preserve"> i </w:t>
      </w:r>
      <w:r w:rsidR="00427B68">
        <w:rPr>
          <w:rFonts w:ascii="Cambria" w:hAnsi="Cambria"/>
          <w:lang w:val="sv-SE"/>
        </w:rPr>
        <w:t xml:space="preserve">de olika </w:t>
      </w:r>
      <w:r w:rsidR="003B3A0E">
        <w:rPr>
          <w:rFonts w:ascii="Cambria" w:hAnsi="Cambria"/>
          <w:lang w:val="sv-SE"/>
        </w:rPr>
        <w:t xml:space="preserve">tjänsteutlåtandena och </w:t>
      </w:r>
      <w:r w:rsidR="00421AC8">
        <w:rPr>
          <w:rFonts w:ascii="Cambria" w:hAnsi="Cambria"/>
          <w:lang w:val="sv-SE"/>
        </w:rPr>
        <w:t xml:space="preserve">översiktliga </w:t>
      </w:r>
      <w:r w:rsidR="00232270">
        <w:rPr>
          <w:rFonts w:ascii="Cambria" w:hAnsi="Cambria"/>
          <w:lang w:val="sv-SE"/>
        </w:rPr>
        <w:t>diagram</w:t>
      </w:r>
      <w:r w:rsidR="007C4CDE">
        <w:rPr>
          <w:rFonts w:ascii="Cambria" w:hAnsi="Cambria"/>
          <w:lang w:val="sv-SE"/>
        </w:rPr>
        <w:t xml:space="preserve"> som </w:t>
      </w:r>
      <w:r w:rsidR="00232270">
        <w:rPr>
          <w:rFonts w:ascii="Cambria" w:hAnsi="Cambria"/>
          <w:lang w:val="sv-SE"/>
        </w:rPr>
        <w:t>exempelvis</w:t>
      </w:r>
      <w:r w:rsidR="007C4CDE">
        <w:rPr>
          <w:rFonts w:ascii="Cambria" w:hAnsi="Cambria"/>
          <w:lang w:val="sv-SE"/>
        </w:rPr>
        <w:t xml:space="preserve"> </w:t>
      </w:r>
      <w:r w:rsidR="00232270">
        <w:rPr>
          <w:rFonts w:ascii="Cambria" w:hAnsi="Cambria"/>
          <w:lang w:val="sv-SE"/>
        </w:rPr>
        <w:t>visar</w:t>
      </w:r>
      <w:r w:rsidR="004201DA">
        <w:rPr>
          <w:rFonts w:ascii="Cambria" w:hAnsi="Cambria"/>
          <w:lang w:val="sv-SE"/>
        </w:rPr>
        <w:t xml:space="preserve"> utvecklingen av öppenvårdsbesök i några av vårdvalen över tid</w:t>
      </w:r>
      <w:r w:rsidR="00427B68">
        <w:rPr>
          <w:rFonts w:ascii="Cambria" w:hAnsi="Cambria"/>
          <w:lang w:val="sv-SE"/>
        </w:rPr>
        <w:t>.</w:t>
      </w:r>
    </w:p>
    <w:p w14:paraId="66AD3DC5" w14:textId="77777777" w:rsidR="00CA7DA8" w:rsidRDefault="00CA7DA8" w:rsidP="005D47D0">
      <w:pPr>
        <w:jc w:val="both"/>
        <w:rPr>
          <w:rFonts w:ascii="Cambria" w:hAnsi="Cambria"/>
          <w:lang w:val="sv-SE"/>
        </w:rPr>
      </w:pPr>
    </w:p>
    <w:p w14:paraId="51943BB5" w14:textId="08709C4B" w:rsidR="00427B68" w:rsidRDefault="0040212C" w:rsidP="005D47D0">
      <w:pPr>
        <w:jc w:val="both"/>
        <w:rPr>
          <w:rFonts w:ascii="Cambria" w:hAnsi="Cambria"/>
          <w:lang w:val="sv-SE"/>
        </w:rPr>
      </w:pPr>
      <w:r>
        <w:rPr>
          <w:rFonts w:ascii="Cambria" w:hAnsi="Cambria"/>
          <w:lang w:val="sv-SE"/>
        </w:rPr>
        <w:t xml:space="preserve">I tjänsteutlåtandena finns </w:t>
      </w:r>
      <w:r w:rsidR="00427B68">
        <w:rPr>
          <w:rFonts w:ascii="Cambria" w:hAnsi="Cambria"/>
          <w:lang w:val="sv-SE"/>
        </w:rPr>
        <w:t>hänvis</w:t>
      </w:r>
      <w:r>
        <w:rPr>
          <w:rFonts w:ascii="Cambria" w:hAnsi="Cambria"/>
          <w:lang w:val="sv-SE"/>
        </w:rPr>
        <w:t xml:space="preserve">ningar </w:t>
      </w:r>
      <w:r w:rsidR="00D05761">
        <w:rPr>
          <w:rFonts w:ascii="Cambria" w:hAnsi="Cambria"/>
          <w:lang w:val="sv-SE"/>
        </w:rPr>
        <w:t xml:space="preserve">till saker som </w:t>
      </w:r>
      <w:r>
        <w:rPr>
          <w:rFonts w:ascii="Cambria" w:hAnsi="Cambria"/>
          <w:lang w:val="sv-SE"/>
        </w:rPr>
        <w:t xml:space="preserve">det politiska styret </w:t>
      </w:r>
      <w:r w:rsidR="00D05761">
        <w:rPr>
          <w:rFonts w:ascii="Cambria" w:hAnsi="Cambria"/>
          <w:lang w:val="sv-SE"/>
        </w:rPr>
        <w:t>vill förbättra, såsom att säkerställa utbildning av specialister</w:t>
      </w:r>
      <w:r w:rsidR="00CA7DA8">
        <w:rPr>
          <w:rFonts w:ascii="Cambria" w:hAnsi="Cambria"/>
          <w:lang w:val="sv-SE"/>
        </w:rPr>
        <w:t>, jämlik vård</w:t>
      </w:r>
      <w:r w:rsidR="00D05761">
        <w:rPr>
          <w:rFonts w:ascii="Cambria" w:hAnsi="Cambria"/>
          <w:lang w:val="sv-SE"/>
        </w:rPr>
        <w:t xml:space="preserve"> och deltagande i forskning</w:t>
      </w:r>
      <w:r w:rsidR="009C794F">
        <w:rPr>
          <w:rFonts w:ascii="Cambria" w:hAnsi="Cambria"/>
          <w:lang w:val="sv-SE"/>
        </w:rPr>
        <w:t>. I några korta meningar beskriver man sedan de förväntade konsekvenserna</w:t>
      </w:r>
      <w:r w:rsidR="00D05761">
        <w:rPr>
          <w:rFonts w:ascii="Cambria" w:hAnsi="Cambria"/>
          <w:lang w:val="sv-SE"/>
        </w:rPr>
        <w:t>, men det finns ing</w:t>
      </w:r>
      <w:r w:rsidR="00FE2C73">
        <w:rPr>
          <w:rFonts w:ascii="Cambria" w:hAnsi="Cambria"/>
          <w:lang w:val="sv-SE"/>
        </w:rPr>
        <w:t xml:space="preserve">a </w:t>
      </w:r>
      <w:r w:rsidR="00230814">
        <w:rPr>
          <w:rFonts w:ascii="Cambria" w:hAnsi="Cambria"/>
          <w:lang w:val="sv-SE"/>
        </w:rPr>
        <w:t xml:space="preserve">analyser </w:t>
      </w:r>
      <w:r w:rsidR="009C794F">
        <w:rPr>
          <w:rFonts w:ascii="Cambria" w:hAnsi="Cambria"/>
          <w:lang w:val="sv-SE"/>
        </w:rPr>
        <w:t xml:space="preserve">som redogör för de antaganden som görs </w:t>
      </w:r>
      <w:r w:rsidR="00651A23">
        <w:rPr>
          <w:rFonts w:ascii="Cambria" w:hAnsi="Cambria"/>
          <w:lang w:val="sv-SE"/>
        </w:rPr>
        <w:t>i detta hänseende</w:t>
      </w:r>
      <w:r w:rsidR="009C794F">
        <w:rPr>
          <w:rFonts w:ascii="Cambria" w:hAnsi="Cambria"/>
          <w:lang w:val="sv-SE"/>
        </w:rPr>
        <w:t xml:space="preserve"> – </w:t>
      </w:r>
      <w:r w:rsidR="007C0AE3">
        <w:rPr>
          <w:rFonts w:ascii="Cambria" w:hAnsi="Cambria"/>
          <w:lang w:val="sv-SE"/>
        </w:rPr>
        <w:t xml:space="preserve">eller om alternativa vägval hade kunnat leverera samma eller bättre utfall – </w:t>
      </w:r>
      <w:r w:rsidR="009C794F">
        <w:rPr>
          <w:rFonts w:ascii="Cambria" w:hAnsi="Cambria"/>
          <w:lang w:val="sv-SE"/>
        </w:rPr>
        <w:t>och inte heller någon diskussion om möjliga oavsiktliga konsekvenser som kan uppstå.</w:t>
      </w:r>
    </w:p>
    <w:p w14:paraId="7D8D4CEF" w14:textId="77777777" w:rsidR="00232270" w:rsidRDefault="00232270" w:rsidP="005D47D0">
      <w:pPr>
        <w:jc w:val="both"/>
        <w:rPr>
          <w:rFonts w:ascii="Cambria" w:hAnsi="Cambria"/>
          <w:lang w:val="sv-SE"/>
        </w:rPr>
      </w:pPr>
    </w:p>
    <w:p w14:paraId="7A5B54F8" w14:textId="79868CD5" w:rsidR="008F7A0D" w:rsidRDefault="00D10DA6" w:rsidP="005D47D0">
      <w:pPr>
        <w:jc w:val="both"/>
        <w:rPr>
          <w:rFonts w:ascii="Cambria" w:hAnsi="Cambria"/>
          <w:lang w:val="sv-SE"/>
        </w:rPr>
      </w:pPr>
      <w:r>
        <w:rPr>
          <w:rFonts w:ascii="Cambria" w:hAnsi="Cambria"/>
          <w:lang w:val="sv-SE"/>
        </w:rPr>
        <w:t xml:space="preserve">Detta är </w:t>
      </w:r>
      <w:r w:rsidR="008C3B0B">
        <w:rPr>
          <w:rFonts w:ascii="Cambria" w:hAnsi="Cambria"/>
          <w:lang w:val="sv-SE"/>
        </w:rPr>
        <w:t>bekymmersamt</w:t>
      </w:r>
      <w:r>
        <w:rPr>
          <w:rFonts w:ascii="Cambria" w:hAnsi="Cambria"/>
          <w:lang w:val="sv-SE"/>
        </w:rPr>
        <w:t xml:space="preserve"> </w:t>
      </w:r>
      <w:r w:rsidR="0056290F">
        <w:rPr>
          <w:rFonts w:ascii="Cambria" w:hAnsi="Cambria"/>
          <w:lang w:val="sv-SE"/>
        </w:rPr>
        <w:t xml:space="preserve">då riskerna för oavsiktliga konsekvenser är </w:t>
      </w:r>
      <w:r w:rsidR="00E86043">
        <w:rPr>
          <w:rFonts w:ascii="Cambria" w:hAnsi="Cambria"/>
          <w:lang w:val="sv-SE"/>
        </w:rPr>
        <w:t xml:space="preserve">betydliga </w:t>
      </w:r>
      <w:r w:rsidR="0056290F">
        <w:rPr>
          <w:rFonts w:ascii="Cambria" w:hAnsi="Cambria"/>
          <w:lang w:val="sv-SE"/>
        </w:rPr>
        <w:t>vid</w:t>
      </w:r>
      <w:r w:rsidR="00E86043">
        <w:rPr>
          <w:rFonts w:ascii="Cambria" w:hAnsi="Cambria"/>
          <w:lang w:val="sv-SE"/>
        </w:rPr>
        <w:t xml:space="preserve"> så här stora och </w:t>
      </w:r>
      <w:r w:rsidR="006F0606">
        <w:rPr>
          <w:rFonts w:ascii="Cambria" w:hAnsi="Cambria"/>
          <w:lang w:val="sv-SE"/>
        </w:rPr>
        <w:t xml:space="preserve">snabba </w:t>
      </w:r>
      <w:r w:rsidR="0056290F">
        <w:rPr>
          <w:rFonts w:ascii="Cambria" w:hAnsi="Cambria"/>
          <w:lang w:val="sv-SE"/>
        </w:rPr>
        <w:t xml:space="preserve">förändringar </w:t>
      </w:r>
      <w:r w:rsidR="00E86043">
        <w:rPr>
          <w:rFonts w:ascii="Cambria" w:hAnsi="Cambria"/>
          <w:lang w:val="sv-SE"/>
        </w:rPr>
        <w:t xml:space="preserve">av en så komplex verksamhet som specialistvård. </w:t>
      </w:r>
      <w:r w:rsidR="0056290F">
        <w:rPr>
          <w:rFonts w:ascii="Cambria" w:hAnsi="Cambria"/>
          <w:lang w:val="sv-SE"/>
        </w:rPr>
        <w:t xml:space="preserve">Hade </w:t>
      </w:r>
      <w:r w:rsidR="00735A52">
        <w:rPr>
          <w:rFonts w:ascii="Cambria" w:hAnsi="Cambria"/>
          <w:lang w:val="sv-SE"/>
        </w:rPr>
        <w:t>ansvaret för vården legat på</w:t>
      </w:r>
      <w:r w:rsidR="007C0AE3">
        <w:rPr>
          <w:rFonts w:ascii="Cambria" w:hAnsi="Cambria"/>
          <w:lang w:val="sv-SE"/>
        </w:rPr>
        <w:t xml:space="preserve"> nationell nivå</w:t>
      </w:r>
      <w:r w:rsidR="0056290F">
        <w:rPr>
          <w:rFonts w:ascii="Cambria" w:hAnsi="Cambria"/>
          <w:lang w:val="sv-SE"/>
        </w:rPr>
        <w:t xml:space="preserve"> hade </w:t>
      </w:r>
      <w:r w:rsidR="00421AC8">
        <w:rPr>
          <w:rFonts w:ascii="Cambria" w:hAnsi="Cambria"/>
          <w:lang w:val="sv-SE"/>
        </w:rPr>
        <w:t xml:space="preserve">omfattande </w:t>
      </w:r>
      <w:r w:rsidR="00E86043">
        <w:rPr>
          <w:rFonts w:ascii="Cambria" w:hAnsi="Cambria"/>
          <w:lang w:val="sv-SE"/>
        </w:rPr>
        <w:t>förändringar</w:t>
      </w:r>
      <w:r w:rsidR="0056290F">
        <w:rPr>
          <w:rFonts w:ascii="Cambria" w:hAnsi="Cambria"/>
          <w:lang w:val="sv-SE"/>
        </w:rPr>
        <w:t xml:space="preserve"> </w:t>
      </w:r>
      <w:r w:rsidR="00A37D85">
        <w:rPr>
          <w:rFonts w:ascii="Cambria" w:hAnsi="Cambria"/>
          <w:lang w:val="sv-SE"/>
        </w:rPr>
        <w:t xml:space="preserve">av detta slag </w:t>
      </w:r>
      <w:r w:rsidR="0056290F">
        <w:rPr>
          <w:rFonts w:ascii="Cambria" w:hAnsi="Cambria"/>
          <w:lang w:val="sv-SE"/>
        </w:rPr>
        <w:t xml:space="preserve">genomgått </w:t>
      </w:r>
      <w:r w:rsidR="00421AC8">
        <w:rPr>
          <w:rFonts w:ascii="Cambria" w:hAnsi="Cambria"/>
          <w:lang w:val="sv-SE"/>
        </w:rPr>
        <w:t>noggranna undersökningar enligt</w:t>
      </w:r>
      <w:r w:rsidR="0056290F">
        <w:rPr>
          <w:rFonts w:ascii="Cambria" w:hAnsi="Cambria"/>
          <w:lang w:val="sv-SE"/>
        </w:rPr>
        <w:t xml:space="preserve"> lagstiftningskedjan med direktiv, utredning, remissvar, lag</w:t>
      </w:r>
      <w:r w:rsidR="00421AC8">
        <w:rPr>
          <w:rFonts w:ascii="Cambria" w:hAnsi="Cambria"/>
          <w:lang w:val="sv-SE"/>
        </w:rPr>
        <w:t>råds</w:t>
      </w:r>
      <w:r w:rsidR="0056290F">
        <w:rPr>
          <w:rFonts w:ascii="Cambria" w:hAnsi="Cambria"/>
          <w:lang w:val="sv-SE"/>
        </w:rPr>
        <w:t xml:space="preserve">remiss och, till slut, en proposition. Men </w:t>
      </w:r>
      <w:r w:rsidR="007C0AE3">
        <w:rPr>
          <w:rFonts w:ascii="Cambria" w:hAnsi="Cambria"/>
          <w:lang w:val="sv-SE"/>
        </w:rPr>
        <w:t>nu</w:t>
      </w:r>
      <w:r w:rsidR="0056290F">
        <w:rPr>
          <w:rFonts w:ascii="Cambria" w:hAnsi="Cambria"/>
          <w:lang w:val="sv-SE"/>
        </w:rPr>
        <w:t xml:space="preserve"> fattas</w:t>
      </w:r>
      <w:r w:rsidR="007C0AE3">
        <w:rPr>
          <w:rFonts w:ascii="Cambria" w:hAnsi="Cambria"/>
          <w:lang w:val="sv-SE"/>
        </w:rPr>
        <w:t xml:space="preserve"> alltså</w:t>
      </w:r>
      <w:r w:rsidR="0056290F">
        <w:rPr>
          <w:rFonts w:ascii="Cambria" w:hAnsi="Cambria"/>
          <w:lang w:val="sv-SE"/>
        </w:rPr>
        <w:t xml:space="preserve"> beslut som </w:t>
      </w:r>
      <w:r w:rsidR="00E86043">
        <w:rPr>
          <w:rFonts w:ascii="Cambria" w:hAnsi="Cambria"/>
          <w:lang w:val="sv-SE"/>
        </w:rPr>
        <w:t xml:space="preserve">riskerar att </w:t>
      </w:r>
      <w:r w:rsidR="0056290F">
        <w:rPr>
          <w:rFonts w:ascii="Cambria" w:hAnsi="Cambria"/>
          <w:lang w:val="sv-SE"/>
        </w:rPr>
        <w:t xml:space="preserve">få </w:t>
      </w:r>
      <w:r w:rsidR="00E86043">
        <w:rPr>
          <w:rFonts w:ascii="Cambria" w:hAnsi="Cambria"/>
          <w:lang w:val="sv-SE"/>
        </w:rPr>
        <w:t>ödesdigra</w:t>
      </w:r>
      <w:r w:rsidR="0056290F">
        <w:rPr>
          <w:rFonts w:ascii="Cambria" w:hAnsi="Cambria"/>
          <w:lang w:val="sv-SE"/>
        </w:rPr>
        <w:t xml:space="preserve"> konsekvenser utan </w:t>
      </w:r>
      <w:r w:rsidR="00421AC8">
        <w:rPr>
          <w:rFonts w:ascii="Cambria" w:hAnsi="Cambria"/>
          <w:lang w:val="sv-SE"/>
        </w:rPr>
        <w:t xml:space="preserve">något som helst </w:t>
      </w:r>
      <w:r w:rsidR="00751650">
        <w:rPr>
          <w:rFonts w:ascii="Cambria" w:hAnsi="Cambria"/>
          <w:lang w:val="sv-SE"/>
        </w:rPr>
        <w:t>liknande</w:t>
      </w:r>
      <w:r w:rsidR="0056290F">
        <w:rPr>
          <w:rFonts w:ascii="Cambria" w:hAnsi="Cambria"/>
          <w:lang w:val="sv-SE"/>
        </w:rPr>
        <w:t xml:space="preserve"> förfarande.</w:t>
      </w:r>
    </w:p>
    <w:p w14:paraId="637D262A" w14:textId="77777777" w:rsidR="00B06CE4" w:rsidRDefault="00B06CE4" w:rsidP="005D47D0">
      <w:pPr>
        <w:jc w:val="both"/>
        <w:rPr>
          <w:rFonts w:ascii="Cambria" w:hAnsi="Cambria"/>
          <w:lang w:val="sv-SE"/>
        </w:rPr>
      </w:pPr>
    </w:p>
    <w:p w14:paraId="3FCEFDE0" w14:textId="7CA4A7DA" w:rsidR="009E48F9" w:rsidRPr="006E4D81" w:rsidRDefault="009E48F9" w:rsidP="006E4D81">
      <w:pPr>
        <w:pStyle w:val="Rubrik2"/>
        <w:numPr>
          <w:ilvl w:val="1"/>
          <w:numId w:val="2"/>
        </w:numPr>
        <w:rPr>
          <w:rFonts w:asciiTheme="minorHAnsi" w:hAnsiTheme="minorHAnsi"/>
          <w:sz w:val="24"/>
          <w:szCs w:val="24"/>
        </w:rPr>
      </w:pPr>
      <w:bookmarkStart w:id="4" w:name="_Toc164353520"/>
      <w:r w:rsidRPr="006E4D81">
        <w:rPr>
          <w:rFonts w:asciiTheme="minorHAnsi" w:hAnsiTheme="minorHAnsi"/>
          <w:sz w:val="24"/>
          <w:szCs w:val="24"/>
        </w:rPr>
        <w:t>Fallstudie: ögonsjukvården</w:t>
      </w:r>
      <w:bookmarkEnd w:id="4"/>
    </w:p>
    <w:p w14:paraId="2E2782A6" w14:textId="69A9657D" w:rsidR="004201DA" w:rsidRDefault="004201DA" w:rsidP="005D47D0">
      <w:pPr>
        <w:jc w:val="both"/>
        <w:rPr>
          <w:rFonts w:ascii="Cambria" w:hAnsi="Cambria"/>
          <w:lang w:val="sv-SE"/>
        </w:rPr>
      </w:pPr>
    </w:p>
    <w:p w14:paraId="043D5A89" w14:textId="3FB4AF04" w:rsidR="00573208" w:rsidRDefault="00CE0068" w:rsidP="005D47D0">
      <w:pPr>
        <w:jc w:val="both"/>
        <w:rPr>
          <w:rFonts w:ascii="Cambria" w:hAnsi="Cambria"/>
          <w:lang w:val="sv-SE"/>
        </w:rPr>
      </w:pPr>
      <w:r>
        <w:rPr>
          <w:rFonts w:ascii="Cambria" w:hAnsi="Cambria"/>
          <w:lang w:val="sv-SE"/>
        </w:rPr>
        <w:t xml:space="preserve">För att exemplifiera problemen med </w:t>
      </w:r>
      <w:r w:rsidR="00C24A17">
        <w:rPr>
          <w:rFonts w:ascii="Cambria" w:hAnsi="Cambria"/>
          <w:lang w:val="sv-SE"/>
        </w:rPr>
        <w:t xml:space="preserve">de bristfälliga underlag </w:t>
      </w:r>
      <w:r w:rsidR="004A398A">
        <w:rPr>
          <w:rFonts w:ascii="Cambria" w:hAnsi="Cambria"/>
          <w:lang w:val="sv-SE"/>
        </w:rPr>
        <w:t xml:space="preserve">som </w:t>
      </w:r>
      <w:r w:rsidR="00C24A17">
        <w:rPr>
          <w:rFonts w:ascii="Cambria" w:hAnsi="Cambria"/>
          <w:lang w:val="sv-SE"/>
        </w:rPr>
        <w:t xml:space="preserve">ligger bakom de politiska besluten </w:t>
      </w:r>
      <w:r w:rsidR="00F8287D">
        <w:rPr>
          <w:rFonts w:ascii="Cambria" w:hAnsi="Cambria"/>
          <w:lang w:val="sv-SE"/>
        </w:rPr>
        <w:t>diskutera</w:t>
      </w:r>
      <w:r w:rsidR="004A398A">
        <w:rPr>
          <w:rFonts w:ascii="Cambria" w:hAnsi="Cambria"/>
          <w:lang w:val="sv-SE"/>
        </w:rPr>
        <w:t xml:space="preserve">r vi </w:t>
      </w:r>
      <w:r w:rsidR="00F8287D">
        <w:rPr>
          <w:rFonts w:ascii="Cambria" w:hAnsi="Cambria"/>
          <w:lang w:val="sv-SE"/>
        </w:rPr>
        <w:t>ögonsjukvården</w:t>
      </w:r>
      <w:r w:rsidR="004A398A">
        <w:rPr>
          <w:rFonts w:ascii="Cambria" w:hAnsi="Cambria"/>
          <w:lang w:val="sv-SE"/>
        </w:rPr>
        <w:t xml:space="preserve"> närmare. V</w:t>
      </w:r>
      <w:r w:rsidR="006A1698">
        <w:rPr>
          <w:rFonts w:ascii="Cambria" w:hAnsi="Cambria"/>
          <w:lang w:val="sv-SE"/>
        </w:rPr>
        <w:t xml:space="preserve">årdvalet </w:t>
      </w:r>
      <w:r w:rsidR="004A398A">
        <w:rPr>
          <w:rFonts w:ascii="Cambria" w:hAnsi="Cambria"/>
          <w:lang w:val="sv-SE"/>
        </w:rPr>
        <w:t xml:space="preserve">inom ögonsjukvården kommer </w:t>
      </w:r>
      <w:r w:rsidR="006A1698">
        <w:rPr>
          <w:rFonts w:ascii="Cambria" w:hAnsi="Cambria"/>
          <w:lang w:val="sv-SE"/>
        </w:rPr>
        <w:t xml:space="preserve">att avvecklas helt och ersättas med </w:t>
      </w:r>
      <w:r w:rsidR="004A398A">
        <w:rPr>
          <w:rFonts w:ascii="Cambria" w:hAnsi="Cambria"/>
          <w:lang w:val="sv-SE"/>
        </w:rPr>
        <w:t xml:space="preserve">offentlig </w:t>
      </w:r>
      <w:r w:rsidR="006A1698">
        <w:rPr>
          <w:rFonts w:ascii="Cambria" w:hAnsi="Cambria"/>
          <w:lang w:val="sv-SE"/>
        </w:rPr>
        <w:t>upphandling.</w:t>
      </w:r>
      <w:r w:rsidR="004A398A">
        <w:rPr>
          <w:rFonts w:ascii="Cambria" w:hAnsi="Cambria"/>
          <w:lang w:val="sv-SE"/>
        </w:rPr>
        <w:t xml:space="preserve"> Notera att vår kritik inte är specifik för ögonsjukvården. Beslutsunderlagen ser inte bättre ut på andra områden och är därför öppna för liknande kritik.</w:t>
      </w:r>
    </w:p>
    <w:p w14:paraId="398EEA5E" w14:textId="77777777" w:rsidR="006B6211" w:rsidRDefault="006B6211" w:rsidP="005D47D0">
      <w:pPr>
        <w:jc w:val="both"/>
        <w:rPr>
          <w:rFonts w:ascii="Cambria" w:hAnsi="Cambria"/>
          <w:lang w:val="sv-SE"/>
        </w:rPr>
      </w:pPr>
    </w:p>
    <w:p w14:paraId="0DC4A204" w14:textId="586D6D6D" w:rsidR="00B34106" w:rsidRDefault="006B6211" w:rsidP="00B34106">
      <w:pPr>
        <w:jc w:val="both"/>
        <w:rPr>
          <w:rFonts w:ascii="Cambria" w:hAnsi="Cambria"/>
          <w:lang w:val="sv-SE"/>
        </w:rPr>
      </w:pPr>
      <w:r>
        <w:rPr>
          <w:rFonts w:ascii="Cambria" w:hAnsi="Cambria"/>
          <w:lang w:val="sv-SE"/>
        </w:rPr>
        <w:t>I tjänsteutlåtandet</w:t>
      </w:r>
      <w:r w:rsidR="00C25952">
        <w:rPr>
          <w:rFonts w:ascii="Cambria" w:hAnsi="Cambria"/>
          <w:lang w:val="sv-SE"/>
        </w:rPr>
        <w:t xml:space="preserve"> </w:t>
      </w:r>
      <w:r w:rsidR="00570DDE">
        <w:rPr>
          <w:rFonts w:ascii="Cambria" w:hAnsi="Cambria"/>
          <w:lang w:val="sv-SE"/>
        </w:rPr>
        <w:t xml:space="preserve">framgår </w:t>
      </w:r>
      <w:r w:rsidR="00C25952">
        <w:rPr>
          <w:rFonts w:ascii="Cambria" w:hAnsi="Cambria"/>
          <w:lang w:val="sv-SE"/>
        </w:rPr>
        <w:t xml:space="preserve">att vårdvolymerna och kostnaderna </w:t>
      </w:r>
      <w:r w:rsidR="00CC0F24">
        <w:rPr>
          <w:rFonts w:ascii="Cambria" w:hAnsi="Cambria"/>
          <w:lang w:val="sv-SE"/>
        </w:rPr>
        <w:t xml:space="preserve">inom vårdvalet </w:t>
      </w:r>
      <w:r w:rsidR="00C25952">
        <w:rPr>
          <w:rFonts w:ascii="Cambria" w:hAnsi="Cambria"/>
          <w:lang w:val="sv-SE"/>
        </w:rPr>
        <w:t>har ökat</w:t>
      </w:r>
      <w:r w:rsidR="00EA0313">
        <w:rPr>
          <w:rFonts w:ascii="Cambria" w:hAnsi="Cambria"/>
          <w:lang w:val="sv-SE"/>
        </w:rPr>
        <w:t xml:space="preserve"> </w:t>
      </w:r>
      <w:r w:rsidR="00B41DDD">
        <w:rPr>
          <w:rFonts w:ascii="Cambria" w:hAnsi="Cambria"/>
          <w:lang w:val="sv-SE"/>
        </w:rPr>
        <w:t>över tid</w:t>
      </w:r>
      <w:r w:rsidR="00570DDE">
        <w:rPr>
          <w:rFonts w:ascii="Cambria" w:hAnsi="Cambria"/>
          <w:lang w:val="sv-SE"/>
        </w:rPr>
        <w:t xml:space="preserve">. Detta </w:t>
      </w:r>
      <w:r w:rsidR="00E57305">
        <w:rPr>
          <w:rFonts w:ascii="Cambria" w:hAnsi="Cambria"/>
          <w:lang w:val="sv-SE"/>
        </w:rPr>
        <w:t>menar man</w:t>
      </w:r>
      <w:r w:rsidR="00570DDE">
        <w:rPr>
          <w:rFonts w:ascii="Cambria" w:hAnsi="Cambria"/>
          <w:lang w:val="sv-SE"/>
        </w:rPr>
        <w:t xml:space="preserve"> bero</w:t>
      </w:r>
      <w:r w:rsidR="00E57305">
        <w:rPr>
          <w:rFonts w:ascii="Cambria" w:hAnsi="Cambria"/>
          <w:lang w:val="sv-SE"/>
        </w:rPr>
        <w:t>r</w:t>
      </w:r>
      <w:r w:rsidR="00570DDE">
        <w:rPr>
          <w:rFonts w:ascii="Cambria" w:hAnsi="Cambria"/>
          <w:lang w:val="sv-SE"/>
        </w:rPr>
        <w:t xml:space="preserve"> på vårdvalet, då det hävdas att ökningen </w:t>
      </w:r>
      <w:r w:rsidR="00EA0313">
        <w:rPr>
          <w:rFonts w:ascii="Cambria" w:hAnsi="Cambria"/>
          <w:lang w:val="sv-SE"/>
        </w:rPr>
        <w:t xml:space="preserve">endast delvis kan förklaras av minskade vårdvolymer på S:t </w:t>
      </w:r>
      <w:r w:rsidR="006658C9">
        <w:rPr>
          <w:rFonts w:ascii="Cambria" w:hAnsi="Cambria"/>
          <w:lang w:val="sv-SE"/>
        </w:rPr>
        <w:t>Eriks</w:t>
      </w:r>
      <w:r w:rsidR="00EA0313">
        <w:rPr>
          <w:rFonts w:ascii="Cambria" w:hAnsi="Cambria"/>
          <w:lang w:val="sv-SE"/>
        </w:rPr>
        <w:t xml:space="preserve"> Ögonsjukhus och att andelen äldre i befolkningen har ökat. </w:t>
      </w:r>
      <w:r w:rsidR="00570DDE">
        <w:rPr>
          <w:rFonts w:ascii="Cambria" w:hAnsi="Cambria"/>
          <w:lang w:val="sv-SE"/>
        </w:rPr>
        <w:t xml:space="preserve">Tjänsteutlåtandet </w:t>
      </w:r>
      <w:r w:rsidR="000F03EF">
        <w:rPr>
          <w:rFonts w:ascii="Cambria" w:hAnsi="Cambria"/>
          <w:lang w:val="sv-SE"/>
        </w:rPr>
        <w:t xml:space="preserve">hänvisar </w:t>
      </w:r>
      <w:r w:rsidR="00570DDE">
        <w:rPr>
          <w:rFonts w:ascii="Cambria" w:hAnsi="Cambria"/>
          <w:lang w:val="sv-SE"/>
        </w:rPr>
        <w:t xml:space="preserve">också </w:t>
      </w:r>
      <w:r w:rsidR="000F03EF">
        <w:rPr>
          <w:rFonts w:ascii="Cambria" w:hAnsi="Cambria"/>
          <w:lang w:val="sv-SE"/>
        </w:rPr>
        <w:t xml:space="preserve">till en </w:t>
      </w:r>
      <w:r w:rsidR="00A90DC9">
        <w:rPr>
          <w:rFonts w:ascii="Cambria" w:hAnsi="Cambria"/>
          <w:lang w:val="sv-SE"/>
        </w:rPr>
        <w:t>kortare utredning</w:t>
      </w:r>
      <w:r w:rsidR="000F03EF">
        <w:rPr>
          <w:rFonts w:ascii="Cambria" w:hAnsi="Cambria"/>
          <w:lang w:val="sv-SE"/>
        </w:rPr>
        <w:t xml:space="preserve"> som gjordes år </w:t>
      </w:r>
      <w:r w:rsidR="00A90DC9">
        <w:rPr>
          <w:rFonts w:ascii="Cambria" w:hAnsi="Cambria"/>
          <w:lang w:val="sv-SE"/>
        </w:rPr>
        <w:t>2022</w:t>
      </w:r>
      <w:r w:rsidR="00064C96">
        <w:rPr>
          <w:rFonts w:ascii="Cambria" w:hAnsi="Cambria"/>
          <w:lang w:val="sv-SE"/>
        </w:rPr>
        <w:t xml:space="preserve"> under föregående politiska styr</w:t>
      </w:r>
      <w:r w:rsidR="006969AB">
        <w:rPr>
          <w:rFonts w:ascii="Cambria" w:hAnsi="Cambria"/>
          <w:lang w:val="sv-SE"/>
        </w:rPr>
        <w:t>e</w:t>
      </w:r>
      <w:r w:rsidR="00064C96">
        <w:rPr>
          <w:rFonts w:ascii="Cambria" w:hAnsi="Cambria"/>
          <w:lang w:val="sv-SE"/>
        </w:rPr>
        <w:t>, vilken</w:t>
      </w:r>
      <w:r w:rsidR="000F03EF">
        <w:rPr>
          <w:rFonts w:ascii="Cambria" w:hAnsi="Cambria"/>
          <w:lang w:val="sv-SE"/>
        </w:rPr>
        <w:t xml:space="preserve"> </w:t>
      </w:r>
      <w:r w:rsidR="00064C96">
        <w:rPr>
          <w:rFonts w:ascii="Cambria" w:hAnsi="Cambria"/>
          <w:lang w:val="sv-SE"/>
        </w:rPr>
        <w:t>påstås visa</w:t>
      </w:r>
      <w:r w:rsidR="000F03EF">
        <w:rPr>
          <w:rFonts w:ascii="Cambria" w:hAnsi="Cambria"/>
          <w:lang w:val="sv-SE"/>
        </w:rPr>
        <w:t xml:space="preserve"> att det förekommer viss medicinskt omotiverad konsumtion inom vårdvalet</w:t>
      </w:r>
      <w:r w:rsidR="00B41DDD">
        <w:rPr>
          <w:rFonts w:ascii="Cambria" w:hAnsi="Cambria"/>
          <w:lang w:val="sv-SE"/>
        </w:rPr>
        <w:t xml:space="preserve"> – inklusive sådan som </w:t>
      </w:r>
      <w:r w:rsidR="000F03EF">
        <w:rPr>
          <w:rFonts w:ascii="Cambria" w:hAnsi="Cambria"/>
          <w:lang w:val="sv-SE"/>
        </w:rPr>
        <w:t>enligt regionens kunskapsstöd egentligen ska hanteras inom primärvården</w:t>
      </w:r>
      <w:r w:rsidR="00B41DDD">
        <w:rPr>
          <w:rFonts w:ascii="Cambria" w:hAnsi="Cambria"/>
          <w:lang w:val="sv-SE"/>
        </w:rPr>
        <w:t xml:space="preserve"> – </w:t>
      </w:r>
      <w:r w:rsidR="0084303D">
        <w:rPr>
          <w:rFonts w:ascii="Cambria" w:hAnsi="Cambria"/>
          <w:lang w:val="sv-SE"/>
        </w:rPr>
        <w:t>och</w:t>
      </w:r>
      <w:r w:rsidR="007A0F27">
        <w:rPr>
          <w:rFonts w:ascii="Cambria" w:hAnsi="Cambria"/>
          <w:lang w:val="sv-SE"/>
        </w:rPr>
        <w:t xml:space="preserve"> att mängden besök jämfört med folkmängden är mycket högre i Region Stockholm än i andra regioner, trots en yngre befolkning</w:t>
      </w:r>
      <w:r w:rsidR="000F03EF">
        <w:rPr>
          <w:rFonts w:ascii="Cambria" w:hAnsi="Cambria"/>
          <w:lang w:val="sv-SE"/>
        </w:rPr>
        <w:t xml:space="preserve"> (HSN </w:t>
      </w:r>
      <w:proofErr w:type="gramStart"/>
      <w:r w:rsidR="000F03EF">
        <w:rPr>
          <w:rFonts w:ascii="Cambria" w:hAnsi="Cambria"/>
          <w:lang w:val="sv-SE"/>
        </w:rPr>
        <w:t>2023-0097</w:t>
      </w:r>
      <w:proofErr w:type="gramEnd"/>
      <w:r w:rsidR="000F03EF">
        <w:rPr>
          <w:rFonts w:ascii="Cambria" w:hAnsi="Cambria"/>
          <w:lang w:val="sv-SE"/>
        </w:rPr>
        <w:t>; HSN 2023-0938).</w:t>
      </w:r>
    </w:p>
    <w:p w14:paraId="6E4F2BE9" w14:textId="65026F22" w:rsidR="00E920A2" w:rsidRDefault="00E920A2" w:rsidP="00B34106">
      <w:pPr>
        <w:jc w:val="both"/>
        <w:rPr>
          <w:rFonts w:ascii="Cambria" w:hAnsi="Cambria"/>
          <w:lang w:val="sv-SE"/>
        </w:rPr>
      </w:pPr>
    </w:p>
    <w:p w14:paraId="1250C20F" w14:textId="2E8FEA7F" w:rsidR="000E0EAE" w:rsidRPr="001973BB" w:rsidRDefault="000118A1" w:rsidP="00A456A6">
      <w:pPr>
        <w:jc w:val="both"/>
        <w:rPr>
          <w:rFonts w:ascii="Cambria" w:hAnsi="Cambria"/>
          <w:lang w:val="sv-SE"/>
        </w:rPr>
      </w:pPr>
      <w:bookmarkStart w:id="5" w:name="_Hlk162456438"/>
      <w:bookmarkStart w:id="6" w:name="_Hlk162539851"/>
      <w:r>
        <w:rPr>
          <w:rFonts w:ascii="Cambria" w:hAnsi="Cambria"/>
          <w:lang w:val="sv-SE"/>
        </w:rPr>
        <w:lastRenderedPageBreak/>
        <w:t xml:space="preserve">Till att börja med är </w:t>
      </w:r>
      <w:r w:rsidR="00B32DFF">
        <w:rPr>
          <w:rFonts w:ascii="Cambria" w:hAnsi="Cambria"/>
          <w:lang w:val="sv-SE"/>
        </w:rPr>
        <w:t xml:space="preserve">det tydligt att den </w:t>
      </w:r>
      <w:r w:rsidR="002279BF">
        <w:rPr>
          <w:rFonts w:ascii="Cambria" w:hAnsi="Cambria"/>
          <w:lang w:val="sv-SE"/>
        </w:rPr>
        <w:t xml:space="preserve">tidigare, </w:t>
      </w:r>
      <w:r w:rsidR="00B32DFF">
        <w:rPr>
          <w:rFonts w:ascii="Cambria" w:hAnsi="Cambria"/>
          <w:lang w:val="sv-SE"/>
        </w:rPr>
        <w:t xml:space="preserve">kortare utredningen som refereras ger en annan bild </w:t>
      </w:r>
      <w:r w:rsidR="00900A90">
        <w:rPr>
          <w:rFonts w:ascii="Cambria" w:hAnsi="Cambria"/>
          <w:lang w:val="sv-SE"/>
        </w:rPr>
        <w:t xml:space="preserve">av volymutvecklingen inom ögonsjukvården </w:t>
      </w:r>
      <w:r w:rsidR="00B32DFF">
        <w:rPr>
          <w:rFonts w:ascii="Cambria" w:hAnsi="Cambria"/>
          <w:lang w:val="sv-SE"/>
        </w:rPr>
        <w:t xml:space="preserve">än den som ovanstående tjänsteutlåtanden presenterar. </w:t>
      </w:r>
      <w:r w:rsidR="002279BF">
        <w:rPr>
          <w:rFonts w:ascii="Cambria" w:hAnsi="Cambria"/>
          <w:lang w:val="sv-SE"/>
        </w:rPr>
        <w:t>Den tidigare utredningen</w:t>
      </w:r>
      <w:r w:rsidR="00B32DFF">
        <w:rPr>
          <w:rFonts w:ascii="Cambria" w:hAnsi="Cambria"/>
          <w:lang w:val="sv-SE"/>
        </w:rPr>
        <w:t xml:space="preserve"> </w:t>
      </w:r>
      <w:r w:rsidR="0084303D">
        <w:rPr>
          <w:rFonts w:ascii="Cambria" w:hAnsi="Cambria"/>
          <w:lang w:val="sv-SE"/>
        </w:rPr>
        <w:t>redovisar</w:t>
      </w:r>
      <w:r w:rsidR="00B32DFF">
        <w:rPr>
          <w:rFonts w:ascii="Cambria" w:hAnsi="Cambria"/>
          <w:lang w:val="sv-SE"/>
        </w:rPr>
        <w:t xml:space="preserve"> </w:t>
      </w:r>
      <w:r w:rsidR="00A74CDD">
        <w:rPr>
          <w:rFonts w:ascii="Cambria" w:hAnsi="Cambria"/>
          <w:lang w:val="sv-SE"/>
        </w:rPr>
        <w:t>visserligen</w:t>
      </w:r>
      <w:r w:rsidR="006F3084">
        <w:rPr>
          <w:rFonts w:ascii="Cambria" w:hAnsi="Cambria"/>
          <w:lang w:val="sv-SE"/>
        </w:rPr>
        <w:t xml:space="preserve">, </w:t>
      </w:r>
      <w:r w:rsidR="0084303D">
        <w:rPr>
          <w:rFonts w:ascii="Cambria" w:hAnsi="Cambria"/>
          <w:lang w:val="sv-SE"/>
        </w:rPr>
        <w:t>med data</w:t>
      </w:r>
      <w:r w:rsidR="00B32DFF">
        <w:rPr>
          <w:rFonts w:ascii="Cambria" w:hAnsi="Cambria"/>
          <w:lang w:val="sv-SE"/>
        </w:rPr>
        <w:t xml:space="preserve"> från samma källa</w:t>
      </w:r>
      <w:r w:rsidR="006F3084">
        <w:rPr>
          <w:rFonts w:ascii="Cambria" w:hAnsi="Cambria"/>
          <w:lang w:val="sv-SE"/>
        </w:rPr>
        <w:t xml:space="preserve"> </w:t>
      </w:r>
      <w:r w:rsidR="0084303D">
        <w:rPr>
          <w:rFonts w:ascii="Cambria" w:hAnsi="Cambria"/>
          <w:lang w:val="sv-SE"/>
        </w:rPr>
        <w:t xml:space="preserve">som </w:t>
      </w:r>
      <w:r w:rsidR="006F3084">
        <w:rPr>
          <w:rFonts w:ascii="Cambria" w:hAnsi="Cambria"/>
          <w:lang w:val="sv-SE"/>
        </w:rPr>
        <w:t xml:space="preserve">i tjänsteutlåtandena ovan, en </w:t>
      </w:r>
      <w:r w:rsidR="00CB2902">
        <w:rPr>
          <w:rFonts w:ascii="Cambria" w:hAnsi="Cambria"/>
          <w:lang w:val="sv-SE"/>
        </w:rPr>
        <w:t xml:space="preserve">rejält </w:t>
      </w:r>
      <w:r w:rsidR="006F3084">
        <w:rPr>
          <w:rFonts w:ascii="Cambria" w:hAnsi="Cambria"/>
          <w:lang w:val="sv-SE"/>
        </w:rPr>
        <w:t>ökande kostnadsutveckling</w:t>
      </w:r>
      <w:r w:rsidR="00E832E2">
        <w:rPr>
          <w:rFonts w:ascii="Cambria" w:hAnsi="Cambria"/>
          <w:lang w:val="sv-SE"/>
        </w:rPr>
        <w:t xml:space="preserve"> inom vårdvalet</w:t>
      </w:r>
      <w:r w:rsidR="006F3084">
        <w:rPr>
          <w:rFonts w:ascii="Cambria" w:hAnsi="Cambria"/>
          <w:lang w:val="sv-SE"/>
        </w:rPr>
        <w:t xml:space="preserve"> på grund av </w:t>
      </w:r>
      <w:r w:rsidR="001751C0">
        <w:rPr>
          <w:rFonts w:ascii="Cambria" w:hAnsi="Cambria"/>
          <w:lang w:val="sv-SE"/>
        </w:rPr>
        <w:t xml:space="preserve">kraftigt </w:t>
      </w:r>
      <w:r w:rsidR="00170216">
        <w:rPr>
          <w:rFonts w:ascii="Cambria" w:hAnsi="Cambria"/>
          <w:lang w:val="sv-SE"/>
        </w:rPr>
        <w:t>ökande</w:t>
      </w:r>
      <w:r w:rsidR="006F3084">
        <w:rPr>
          <w:rFonts w:ascii="Cambria" w:hAnsi="Cambria"/>
          <w:lang w:val="sv-SE"/>
        </w:rPr>
        <w:t xml:space="preserve"> </w:t>
      </w:r>
      <w:r w:rsidR="00610EAE">
        <w:rPr>
          <w:rFonts w:ascii="Cambria" w:hAnsi="Cambria"/>
          <w:lang w:val="sv-SE"/>
        </w:rPr>
        <w:t>antal besök</w:t>
      </w:r>
      <w:r w:rsidR="006F3084">
        <w:rPr>
          <w:rFonts w:ascii="Cambria" w:hAnsi="Cambria"/>
          <w:lang w:val="sv-SE"/>
        </w:rPr>
        <w:t xml:space="preserve"> </w:t>
      </w:r>
      <w:r w:rsidR="001751C0">
        <w:rPr>
          <w:rFonts w:ascii="Cambria" w:hAnsi="Cambria"/>
          <w:lang w:val="sv-SE"/>
        </w:rPr>
        <w:t xml:space="preserve">på cirka 50 procent </w:t>
      </w:r>
      <w:r w:rsidR="006F3084">
        <w:rPr>
          <w:rFonts w:ascii="Cambria" w:hAnsi="Cambria"/>
          <w:lang w:val="sv-SE"/>
        </w:rPr>
        <w:t xml:space="preserve">mellan 2014 och 2021 (HSN </w:t>
      </w:r>
      <w:proofErr w:type="gramStart"/>
      <w:r w:rsidR="006F3084">
        <w:rPr>
          <w:rFonts w:ascii="Cambria" w:hAnsi="Cambria"/>
          <w:lang w:val="sv-SE"/>
        </w:rPr>
        <w:t>2022-0765</w:t>
      </w:r>
      <w:proofErr w:type="gramEnd"/>
      <w:r w:rsidR="006F3084">
        <w:rPr>
          <w:rFonts w:ascii="Cambria" w:hAnsi="Cambria"/>
          <w:lang w:val="sv-SE"/>
        </w:rPr>
        <w:t>).</w:t>
      </w:r>
      <w:r w:rsidR="00A74CDD">
        <w:rPr>
          <w:rFonts w:ascii="Cambria" w:hAnsi="Cambria"/>
          <w:lang w:val="sv-SE"/>
        </w:rPr>
        <w:t xml:space="preserve"> </w:t>
      </w:r>
      <w:r w:rsidR="00821D8E">
        <w:rPr>
          <w:rFonts w:ascii="Cambria" w:hAnsi="Cambria"/>
          <w:lang w:val="sv-SE"/>
        </w:rPr>
        <w:t xml:space="preserve">Men när man </w:t>
      </w:r>
      <w:r w:rsidR="006F0606">
        <w:rPr>
          <w:rFonts w:ascii="Cambria" w:hAnsi="Cambria"/>
          <w:lang w:val="sv-SE"/>
        </w:rPr>
        <w:t xml:space="preserve">granskar </w:t>
      </w:r>
      <w:r w:rsidR="00821D8E">
        <w:rPr>
          <w:rFonts w:ascii="Cambria" w:hAnsi="Cambria"/>
          <w:lang w:val="sv-SE"/>
        </w:rPr>
        <w:t>statistiken som presenteras är det</w:t>
      </w:r>
      <w:r w:rsidR="00B4635A">
        <w:rPr>
          <w:rFonts w:ascii="Cambria" w:hAnsi="Cambria"/>
          <w:lang w:val="sv-SE"/>
        </w:rPr>
        <w:t xml:space="preserve"> </w:t>
      </w:r>
      <w:r w:rsidR="00170216">
        <w:rPr>
          <w:rFonts w:ascii="Cambria" w:hAnsi="Cambria"/>
          <w:lang w:val="sv-SE"/>
        </w:rPr>
        <w:t xml:space="preserve">uppenbart att </w:t>
      </w:r>
      <w:r w:rsidR="007F5D84">
        <w:rPr>
          <w:rFonts w:ascii="Cambria" w:hAnsi="Cambria"/>
          <w:lang w:val="sv-SE"/>
        </w:rPr>
        <w:t xml:space="preserve">en </w:t>
      </w:r>
      <w:r w:rsidR="00A07512">
        <w:rPr>
          <w:rFonts w:ascii="Cambria" w:hAnsi="Cambria"/>
          <w:lang w:val="sv-SE"/>
        </w:rPr>
        <w:t xml:space="preserve">väldigt </w:t>
      </w:r>
      <w:r w:rsidR="007F5D84">
        <w:rPr>
          <w:rFonts w:ascii="Cambria" w:hAnsi="Cambria"/>
          <w:lang w:val="sv-SE"/>
        </w:rPr>
        <w:t>stor del</w:t>
      </w:r>
      <w:r w:rsidR="00170216">
        <w:rPr>
          <w:rFonts w:ascii="Cambria" w:hAnsi="Cambria"/>
          <w:lang w:val="sv-SE"/>
        </w:rPr>
        <w:t xml:space="preserve"> av ökningen i volymer inom vårdvalet </w:t>
      </w:r>
      <w:r w:rsidR="0084303D">
        <w:rPr>
          <w:rFonts w:ascii="Cambria" w:hAnsi="Cambria"/>
          <w:lang w:val="sv-SE"/>
        </w:rPr>
        <w:t xml:space="preserve">under den perioden </w:t>
      </w:r>
      <w:r w:rsidR="00170216">
        <w:rPr>
          <w:rFonts w:ascii="Cambria" w:hAnsi="Cambria"/>
          <w:lang w:val="sv-SE"/>
        </w:rPr>
        <w:t xml:space="preserve">matchas av sjunkande produktion </w:t>
      </w:r>
      <w:r w:rsidR="00714D97">
        <w:rPr>
          <w:rFonts w:ascii="Cambria" w:hAnsi="Cambria"/>
          <w:lang w:val="sv-SE"/>
        </w:rPr>
        <w:t>i andra delar av den specialiserade ögonsjukvården</w:t>
      </w:r>
      <w:r w:rsidR="00A07512">
        <w:rPr>
          <w:rFonts w:ascii="Cambria" w:hAnsi="Cambria"/>
          <w:lang w:val="sv-SE"/>
        </w:rPr>
        <w:t>:</w:t>
      </w:r>
      <w:r w:rsidR="00170216">
        <w:rPr>
          <w:rFonts w:ascii="Cambria" w:hAnsi="Cambria"/>
          <w:lang w:val="sv-SE"/>
        </w:rPr>
        <w:t xml:space="preserve"> </w:t>
      </w:r>
      <w:r w:rsidR="00A07512">
        <w:rPr>
          <w:rFonts w:ascii="Cambria" w:hAnsi="Cambria"/>
          <w:lang w:val="sv-SE"/>
        </w:rPr>
        <w:t>d</w:t>
      </w:r>
      <w:r w:rsidR="00170216">
        <w:rPr>
          <w:rFonts w:ascii="Cambria" w:hAnsi="Cambria"/>
          <w:lang w:val="sv-SE"/>
        </w:rPr>
        <w:t xml:space="preserve">et </w:t>
      </w:r>
      <w:r w:rsidR="00170216" w:rsidRPr="0084303D">
        <w:rPr>
          <w:rFonts w:ascii="Cambria" w:hAnsi="Cambria"/>
          <w:lang w:val="sv-SE"/>
        </w:rPr>
        <w:t>totala</w:t>
      </w:r>
      <w:r w:rsidR="00170216">
        <w:rPr>
          <w:rFonts w:ascii="Cambria" w:hAnsi="Cambria"/>
          <w:lang w:val="sv-SE"/>
        </w:rPr>
        <w:t xml:space="preserve"> antal</w:t>
      </w:r>
      <w:r w:rsidR="00B41DDD">
        <w:rPr>
          <w:rFonts w:ascii="Cambria" w:hAnsi="Cambria"/>
          <w:lang w:val="sv-SE"/>
        </w:rPr>
        <w:t>et</w:t>
      </w:r>
      <w:r w:rsidR="00170216">
        <w:rPr>
          <w:rFonts w:ascii="Cambria" w:hAnsi="Cambria"/>
          <w:lang w:val="sv-SE"/>
        </w:rPr>
        <w:t xml:space="preserve"> besök </w:t>
      </w:r>
      <w:r w:rsidR="001751C0">
        <w:rPr>
          <w:rFonts w:ascii="Cambria" w:hAnsi="Cambria"/>
          <w:lang w:val="sv-SE"/>
        </w:rPr>
        <w:t xml:space="preserve">inom ögonsjukvården </w:t>
      </w:r>
      <w:r w:rsidR="006658C9">
        <w:rPr>
          <w:rFonts w:ascii="Cambria" w:hAnsi="Cambria"/>
          <w:lang w:val="sv-SE"/>
        </w:rPr>
        <w:t xml:space="preserve">ökade under perioden </w:t>
      </w:r>
      <w:r w:rsidR="006F0606">
        <w:rPr>
          <w:rFonts w:ascii="Cambria" w:hAnsi="Cambria"/>
          <w:lang w:val="sv-SE"/>
        </w:rPr>
        <w:t xml:space="preserve">endast </w:t>
      </w:r>
      <w:r w:rsidR="00170216">
        <w:rPr>
          <w:rFonts w:ascii="Cambria" w:hAnsi="Cambria"/>
          <w:lang w:val="sv-SE"/>
        </w:rPr>
        <w:t>med</w:t>
      </w:r>
      <w:r w:rsidR="00A74CDD">
        <w:rPr>
          <w:rFonts w:ascii="Cambria" w:hAnsi="Cambria"/>
          <w:lang w:val="sv-SE"/>
        </w:rPr>
        <w:t xml:space="preserve"> </w:t>
      </w:r>
      <w:r w:rsidR="00A07512">
        <w:rPr>
          <w:rFonts w:ascii="Cambria" w:hAnsi="Cambria"/>
          <w:lang w:val="sv-SE"/>
        </w:rPr>
        <w:t>ungefär</w:t>
      </w:r>
      <w:r w:rsidR="00170216">
        <w:rPr>
          <w:rFonts w:ascii="Cambria" w:hAnsi="Cambria"/>
          <w:lang w:val="sv-SE"/>
        </w:rPr>
        <w:t xml:space="preserve"> 1</w:t>
      </w:r>
      <w:r w:rsidR="006762AF">
        <w:rPr>
          <w:rFonts w:ascii="Cambria" w:hAnsi="Cambria"/>
          <w:lang w:val="sv-SE"/>
        </w:rPr>
        <w:t>1</w:t>
      </w:r>
      <w:r w:rsidR="00170216">
        <w:rPr>
          <w:rFonts w:ascii="Cambria" w:hAnsi="Cambria"/>
          <w:lang w:val="sv-SE"/>
        </w:rPr>
        <w:t xml:space="preserve"> procent</w:t>
      </w:r>
      <w:r w:rsidR="0084303D">
        <w:rPr>
          <w:rFonts w:ascii="Cambria" w:hAnsi="Cambria"/>
          <w:lang w:val="sv-SE"/>
        </w:rPr>
        <w:t xml:space="preserve">. Samtidigt </w:t>
      </w:r>
      <w:r w:rsidR="00821D8E">
        <w:rPr>
          <w:rFonts w:ascii="Cambria" w:hAnsi="Cambria"/>
          <w:lang w:val="sv-SE"/>
        </w:rPr>
        <w:t xml:space="preserve">har den </w:t>
      </w:r>
      <w:r w:rsidR="006762AF">
        <w:rPr>
          <w:rFonts w:ascii="Cambria" w:hAnsi="Cambria"/>
          <w:lang w:val="sv-SE"/>
        </w:rPr>
        <w:t>totala befolkningen</w:t>
      </w:r>
      <w:r w:rsidR="0084303D">
        <w:rPr>
          <w:rFonts w:ascii="Cambria" w:hAnsi="Cambria"/>
          <w:lang w:val="sv-SE"/>
        </w:rPr>
        <w:t xml:space="preserve"> </w:t>
      </w:r>
      <w:r w:rsidR="00F65C71">
        <w:rPr>
          <w:rFonts w:ascii="Cambria" w:hAnsi="Cambria"/>
          <w:lang w:val="sv-SE"/>
        </w:rPr>
        <w:t xml:space="preserve">i Stockholms län </w:t>
      </w:r>
      <w:r w:rsidR="007F5D84">
        <w:rPr>
          <w:rFonts w:ascii="Cambria" w:hAnsi="Cambria"/>
          <w:lang w:val="sv-SE"/>
        </w:rPr>
        <w:t xml:space="preserve">ökat </w:t>
      </w:r>
      <w:r w:rsidR="0084303D">
        <w:rPr>
          <w:rFonts w:ascii="Cambria" w:hAnsi="Cambria"/>
          <w:lang w:val="sv-SE"/>
        </w:rPr>
        <w:t>me</w:t>
      </w:r>
      <w:bookmarkEnd w:id="5"/>
      <w:r w:rsidR="0084303D">
        <w:rPr>
          <w:rFonts w:ascii="Cambria" w:hAnsi="Cambria"/>
          <w:lang w:val="sv-SE"/>
        </w:rPr>
        <w:t>d 1</w:t>
      </w:r>
      <w:r w:rsidR="006762AF">
        <w:rPr>
          <w:rFonts w:ascii="Cambria" w:hAnsi="Cambria"/>
          <w:lang w:val="sv-SE"/>
        </w:rPr>
        <w:t>0</w:t>
      </w:r>
      <w:r w:rsidR="0084303D">
        <w:rPr>
          <w:rFonts w:ascii="Cambria" w:hAnsi="Cambria"/>
          <w:lang w:val="sv-SE"/>
        </w:rPr>
        <w:t xml:space="preserve"> procen</w:t>
      </w:r>
      <w:r w:rsidR="00821D8E">
        <w:rPr>
          <w:rFonts w:ascii="Cambria" w:hAnsi="Cambria"/>
          <w:lang w:val="sv-SE"/>
        </w:rPr>
        <w:t>t och andelen 65+</w:t>
      </w:r>
      <w:r w:rsidR="006658C9">
        <w:rPr>
          <w:rFonts w:ascii="Cambria" w:hAnsi="Cambria"/>
          <w:lang w:val="sv-SE"/>
        </w:rPr>
        <w:t xml:space="preserve">, vilken </w:t>
      </w:r>
      <w:r w:rsidR="006658C9" w:rsidRPr="001973BB">
        <w:rPr>
          <w:rFonts w:ascii="Cambria" w:hAnsi="Cambria"/>
          <w:lang w:val="sv-SE"/>
        </w:rPr>
        <w:t xml:space="preserve">är </w:t>
      </w:r>
      <w:r w:rsidR="00821D8E" w:rsidRPr="001973BB">
        <w:rPr>
          <w:rFonts w:ascii="Cambria" w:hAnsi="Cambria"/>
          <w:lang w:val="sv-SE"/>
        </w:rPr>
        <w:t>den grupp som nyttjar vårdvalet inom ögonsjukvården mest</w:t>
      </w:r>
      <w:r w:rsidR="006658C9" w:rsidRPr="001973BB">
        <w:rPr>
          <w:rFonts w:ascii="Cambria" w:hAnsi="Cambria"/>
          <w:lang w:val="sv-SE"/>
        </w:rPr>
        <w:t>, med 14 procent</w:t>
      </w:r>
      <w:r w:rsidR="006B2D57" w:rsidRPr="001973BB">
        <w:rPr>
          <w:rFonts w:ascii="Cambria" w:hAnsi="Cambria"/>
          <w:lang w:val="sv-SE"/>
        </w:rPr>
        <w:t xml:space="preserve"> (SCB 2024)</w:t>
      </w:r>
      <w:r w:rsidR="0084303D" w:rsidRPr="001973BB">
        <w:rPr>
          <w:rFonts w:ascii="Cambria" w:hAnsi="Cambria"/>
          <w:lang w:val="sv-SE"/>
        </w:rPr>
        <w:t>.</w:t>
      </w:r>
      <w:bookmarkStart w:id="7" w:name="_Hlk162539854"/>
      <w:bookmarkEnd w:id="6"/>
    </w:p>
    <w:p w14:paraId="1EFAC496" w14:textId="77777777" w:rsidR="0087406C" w:rsidRPr="001973BB" w:rsidRDefault="0087406C" w:rsidP="00A456A6">
      <w:pPr>
        <w:jc w:val="both"/>
        <w:rPr>
          <w:rFonts w:ascii="Cambria" w:hAnsi="Cambria"/>
          <w:lang w:val="sv-SE"/>
        </w:rPr>
      </w:pPr>
    </w:p>
    <w:p w14:paraId="1F68D25F" w14:textId="10D00112" w:rsidR="00841B49" w:rsidRDefault="00B4635A" w:rsidP="00A456A6">
      <w:pPr>
        <w:jc w:val="both"/>
        <w:rPr>
          <w:rFonts w:ascii="Cambria" w:hAnsi="Cambria"/>
          <w:lang w:val="sv-SE"/>
        </w:rPr>
      </w:pPr>
      <w:r w:rsidRPr="001973BB">
        <w:rPr>
          <w:rFonts w:ascii="Cambria" w:hAnsi="Cambria"/>
          <w:lang w:val="sv-SE"/>
        </w:rPr>
        <w:t xml:space="preserve">Under den period som </w:t>
      </w:r>
      <w:r w:rsidR="006658C9" w:rsidRPr="001973BB">
        <w:rPr>
          <w:rFonts w:ascii="Cambria" w:hAnsi="Cambria"/>
          <w:lang w:val="sv-SE"/>
        </w:rPr>
        <w:t xml:space="preserve">den </w:t>
      </w:r>
      <w:r w:rsidR="00486A19">
        <w:rPr>
          <w:rFonts w:ascii="Cambria" w:hAnsi="Cambria"/>
          <w:lang w:val="sv-SE"/>
        </w:rPr>
        <w:t xml:space="preserve">tidigare </w:t>
      </w:r>
      <w:r w:rsidR="006658C9">
        <w:rPr>
          <w:rFonts w:ascii="Cambria" w:hAnsi="Cambria"/>
          <w:lang w:val="sv-SE"/>
        </w:rPr>
        <w:t>utredningen</w:t>
      </w:r>
      <w:r w:rsidR="00714D97">
        <w:rPr>
          <w:rFonts w:ascii="Cambria" w:hAnsi="Cambria"/>
          <w:lang w:val="sv-SE"/>
        </w:rPr>
        <w:t xml:space="preserve"> studerar </w:t>
      </w:r>
      <w:r>
        <w:rPr>
          <w:rFonts w:ascii="Cambria" w:hAnsi="Cambria"/>
          <w:lang w:val="sv-SE"/>
        </w:rPr>
        <w:t xml:space="preserve">kan alltså hela ökningen i </w:t>
      </w:r>
      <w:r w:rsidR="00A90116">
        <w:rPr>
          <w:rFonts w:ascii="Cambria" w:hAnsi="Cambria"/>
          <w:lang w:val="sv-SE"/>
        </w:rPr>
        <w:t xml:space="preserve">volymer inom vårdvalet förklaras av sjunkande produktion i andra delar av ögonsjukvården samt </w:t>
      </w:r>
      <w:r w:rsidR="00821D8E">
        <w:rPr>
          <w:rFonts w:ascii="Cambria" w:hAnsi="Cambria"/>
          <w:lang w:val="sv-SE"/>
        </w:rPr>
        <w:t>en förändrad befolkningsstruktur</w:t>
      </w:r>
      <w:r w:rsidR="00610EAE">
        <w:rPr>
          <w:rFonts w:ascii="Cambria" w:hAnsi="Cambria"/>
          <w:lang w:val="sv-SE"/>
        </w:rPr>
        <w:t>.</w:t>
      </w:r>
      <w:r w:rsidR="00B41DDD">
        <w:rPr>
          <w:rStyle w:val="Fotnotsreferens"/>
          <w:rFonts w:ascii="Cambria" w:hAnsi="Cambria"/>
          <w:lang w:val="sv-SE"/>
        </w:rPr>
        <w:footnoteReference w:id="4"/>
      </w:r>
      <w:r w:rsidR="00B32DFF">
        <w:rPr>
          <w:rFonts w:ascii="Cambria" w:hAnsi="Cambria"/>
          <w:lang w:val="sv-SE"/>
        </w:rPr>
        <w:t xml:space="preserve"> </w:t>
      </w:r>
      <w:r w:rsidR="00F4229E">
        <w:rPr>
          <w:rFonts w:ascii="Cambria" w:hAnsi="Cambria"/>
          <w:lang w:val="sv-SE"/>
        </w:rPr>
        <w:t xml:space="preserve">Som diskuteras nedan finns det tecken på att vårdvalet har ökat volymerna via ökad tillgänglighet, men </w:t>
      </w:r>
      <w:r w:rsidR="005E6FBF">
        <w:rPr>
          <w:rFonts w:ascii="Cambria" w:hAnsi="Cambria"/>
          <w:lang w:val="sv-SE"/>
        </w:rPr>
        <w:t xml:space="preserve">det finns ingenting som tyder på </w:t>
      </w:r>
      <w:r w:rsidR="00A74CDD">
        <w:rPr>
          <w:rFonts w:ascii="Cambria" w:hAnsi="Cambria"/>
          <w:lang w:val="sv-SE"/>
        </w:rPr>
        <w:t xml:space="preserve">att </w:t>
      </w:r>
      <w:r w:rsidR="005E6FBF">
        <w:rPr>
          <w:rFonts w:ascii="Cambria" w:hAnsi="Cambria"/>
          <w:lang w:val="sv-SE"/>
        </w:rPr>
        <w:t xml:space="preserve">dessa effekter uppstår genom en kraftig </w:t>
      </w:r>
      <w:r w:rsidR="00170AB4">
        <w:rPr>
          <w:rFonts w:ascii="Cambria" w:hAnsi="Cambria"/>
          <w:lang w:val="sv-SE"/>
        </w:rPr>
        <w:t xml:space="preserve">kontinuerlig </w:t>
      </w:r>
      <w:r w:rsidR="005E6FBF">
        <w:rPr>
          <w:rFonts w:ascii="Cambria" w:hAnsi="Cambria"/>
          <w:lang w:val="sv-SE"/>
        </w:rPr>
        <w:t>ökning på det sätt</w:t>
      </w:r>
      <w:r w:rsidR="00170AB4">
        <w:rPr>
          <w:rFonts w:ascii="Cambria" w:hAnsi="Cambria"/>
          <w:lang w:val="sv-SE"/>
        </w:rPr>
        <w:t xml:space="preserve"> </w:t>
      </w:r>
      <w:r w:rsidR="005E6FBF">
        <w:rPr>
          <w:rFonts w:ascii="Cambria" w:hAnsi="Cambria"/>
          <w:lang w:val="sv-SE"/>
        </w:rPr>
        <w:t>som målas upp</w:t>
      </w:r>
      <w:r w:rsidR="00170AB4">
        <w:rPr>
          <w:rFonts w:ascii="Cambria" w:hAnsi="Cambria"/>
          <w:lang w:val="sv-SE"/>
        </w:rPr>
        <w:t xml:space="preserve"> </w:t>
      </w:r>
      <w:r w:rsidR="005E6FBF">
        <w:rPr>
          <w:rFonts w:ascii="Cambria" w:hAnsi="Cambria"/>
          <w:lang w:val="sv-SE"/>
        </w:rPr>
        <w:t>i tjänsteutlåtandena.</w:t>
      </w:r>
    </w:p>
    <w:p w14:paraId="2A871567" w14:textId="77777777" w:rsidR="005D2E82" w:rsidRDefault="005D2E82" w:rsidP="00A456A6">
      <w:pPr>
        <w:jc w:val="both"/>
        <w:rPr>
          <w:rFonts w:ascii="Cambria" w:hAnsi="Cambria"/>
          <w:lang w:val="sv-SE"/>
        </w:rPr>
      </w:pPr>
    </w:p>
    <w:p w14:paraId="6B7EAD69" w14:textId="4B8F49E9" w:rsidR="005D2E82" w:rsidRDefault="005D2E82" w:rsidP="00A456A6">
      <w:pPr>
        <w:jc w:val="both"/>
        <w:rPr>
          <w:rFonts w:ascii="Cambria" w:hAnsi="Cambria"/>
          <w:lang w:val="sv-SE"/>
        </w:rPr>
      </w:pPr>
      <w:r>
        <w:rPr>
          <w:rFonts w:ascii="Cambria" w:hAnsi="Cambria"/>
          <w:lang w:val="sv-SE"/>
        </w:rPr>
        <w:t>Här</w:t>
      </w:r>
      <w:r w:rsidRPr="007A7C08">
        <w:rPr>
          <w:rFonts w:ascii="Cambria" w:hAnsi="Cambria"/>
          <w:lang w:val="sv-SE"/>
        </w:rPr>
        <w:t xml:space="preserve"> är</w:t>
      </w:r>
      <w:r>
        <w:rPr>
          <w:rFonts w:ascii="Cambria" w:hAnsi="Cambria"/>
          <w:lang w:val="sv-SE"/>
        </w:rPr>
        <w:t xml:space="preserve"> det också värt att notera</w:t>
      </w:r>
      <w:r w:rsidRPr="007A7C08">
        <w:rPr>
          <w:rFonts w:ascii="Cambria" w:hAnsi="Cambria"/>
          <w:lang w:val="sv-SE"/>
        </w:rPr>
        <w:t xml:space="preserve"> att man inte har räknat upp ersättningsnivåerna i Stockholm sedan vårdvalet infördes 2011. Dessutom genomfördes en prissänkning på 5 procent år 2015 (HSN </w:t>
      </w:r>
      <w:proofErr w:type="gramStart"/>
      <w:r w:rsidRPr="007A7C08">
        <w:rPr>
          <w:rFonts w:ascii="Cambria" w:hAnsi="Cambria"/>
          <w:lang w:val="sv-SE"/>
        </w:rPr>
        <w:t>2022-0764</w:t>
      </w:r>
      <w:proofErr w:type="gramEnd"/>
      <w:r w:rsidRPr="007A7C08">
        <w:rPr>
          <w:rFonts w:ascii="Cambria" w:hAnsi="Cambria"/>
          <w:lang w:val="sv-SE"/>
        </w:rPr>
        <w:t>).</w:t>
      </w:r>
      <w:r>
        <w:rPr>
          <w:rFonts w:ascii="Cambria" w:hAnsi="Cambria"/>
          <w:lang w:val="sv-SE"/>
        </w:rPr>
        <w:t xml:space="preserve"> Samtidigt har den generella pris- och kostnadsnivån i vården ökat markant: enligt vårdprisindex – som </w:t>
      </w:r>
      <w:r w:rsidR="006F0606">
        <w:rPr>
          <w:rFonts w:ascii="Cambria" w:hAnsi="Cambria"/>
          <w:lang w:val="sv-SE"/>
        </w:rPr>
        <w:t>följer</w:t>
      </w:r>
      <w:r>
        <w:rPr>
          <w:rFonts w:ascii="Cambria" w:hAnsi="Cambria"/>
          <w:lang w:val="sv-SE"/>
        </w:rPr>
        <w:t xml:space="preserve"> personal- och förbrukningskostnader – ökade kostnadsnivån i </w:t>
      </w:r>
      <w:r w:rsidR="006F0606">
        <w:rPr>
          <w:rFonts w:ascii="Cambria" w:hAnsi="Cambria"/>
          <w:lang w:val="sv-SE"/>
        </w:rPr>
        <w:t>sjuk</w:t>
      </w:r>
      <w:r>
        <w:rPr>
          <w:rFonts w:ascii="Cambria" w:hAnsi="Cambria"/>
          <w:lang w:val="sv-SE"/>
        </w:rPr>
        <w:t xml:space="preserve">vården med 26 procent mellan 2011 och 2021 (SKR </w:t>
      </w:r>
      <w:r w:rsidR="0070299F">
        <w:rPr>
          <w:rFonts w:ascii="Cambria" w:hAnsi="Cambria"/>
          <w:lang w:val="sv-SE"/>
        </w:rPr>
        <w:t>2024c</w:t>
      </w:r>
      <w:r>
        <w:rPr>
          <w:rFonts w:ascii="Cambria" w:hAnsi="Cambria"/>
          <w:lang w:val="sv-SE"/>
        </w:rPr>
        <w:t xml:space="preserve">). Detta innebär att den reala ersättningen per besök – vilket motsvarar regionens kostnader </w:t>
      </w:r>
      <w:r w:rsidR="00961B44">
        <w:rPr>
          <w:rFonts w:ascii="Cambria" w:hAnsi="Cambria"/>
          <w:lang w:val="sv-SE"/>
        </w:rPr>
        <w:t>per besök inom</w:t>
      </w:r>
      <w:r>
        <w:rPr>
          <w:rFonts w:ascii="Cambria" w:hAnsi="Cambria"/>
          <w:lang w:val="sv-SE"/>
        </w:rPr>
        <w:t xml:space="preserve"> vårdvalet –</w:t>
      </w:r>
      <w:r w:rsidR="00063ACF">
        <w:rPr>
          <w:rFonts w:ascii="Cambria" w:hAnsi="Cambria"/>
          <w:lang w:val="sv-SE"/>
        </w:rPr>
        <w:t xml:space="preserve"> </w:t>
      </w:r>
      <w:r>
        <w:rPr>
          <w:rFonts w:ascii="Cambria" w:hAnsi="Cambria"/>
          <w:lang w:val="sv-SE"/>
        </w:rPr>
        <w:t>har minskat radikalt sedan vårdvalet infördes.</w:t>
      </w:r>
    </w:p>
    <w:p w14:paraId="71EADBD6" w14:textId="77777777" w:rsidR="008C6A33" w:rsidRDefault="008C6A33" w:rsidP="00A456A6">
      <w:pPr>
        <w:jc w:val="both"/>
        <w:rPr>
          <w:rFonts w:ascii="Cambria" w:hAnsi="Cambria"/>
          <w:lang w:val="sv-SE"/>
        </w:rPr>
      </w:pPr>
    </w:p>
    <w:p w14:paraId="56CFE863" w14:textId="4424B32E" w:rsidR="005434B4" w:rsidRDefault="008C6A33" w:rsidP="00A456A6">
      <w:pPr>
        <w:jc w:val="both"/>
        <w:rPr>
          <w:rFonts w:ascii="Cambria" w:hAnsi="Cambria"/>
          <w:lang w:val="sv-SE"/>
        </w:rPr>
      </w:pPr>
      <w:r>
        <w:rPr>
          <w:rFonts w:ascii="Cambria" w:hAnsi="Cambria"/>
          <w:lang w:val="sv-SE"/>
        </w:rPr>
        <w:t xml:space="preserve">Att den </w:t>
      </w:r>
      <w:r w:rsidR="00900A90">
        <w:rPr>
          <w:rFonts w:ascii="Cambria" w:hAnsi="Cambria"/>
          <w:lang w:val="sv-SE"/>
        </w:rPr>
        <w:t>specialist</w:t>
      </w:r>
      <w:r>
        <w:rPr>
          <w:rFonts w:ascii="Cambria" w:hAnsi="Cambria"/>
          <w:lang w:val="sv-SE"/>
        </w:rPr>
        <w:t xml:space="preserve">vård som </w:t>
      </w:r>
      <w:r w:rsidR="00900A90">
        <w:rPr>
          <w:rFonts w:ascii="Cambria" w:hAnsi="Cambria"/>
          <w:lang w:val="sv-SE"/>
        </w:rPr>
        <w:t>sker inom vårdvalet</w:t>
      </w:r>
      <w:r w:rsidR="006F0606">
        <w:rPr>
          <w:rFonts w:ascii="Cambria" w:hAnsi="Cambria"/>
          <w:lang w:val="sv-SE"/>
        </w:rPr>
        <w:t>,</w:t>
      </w:r>
      <w:r w:rsidR="00900A90">
        <w:rPr>
          <w:rFonts w:ascii="Cambria" w:hAnsi="Cambria"/>
          <w:lang w:val="sv-SE"/>
        </w:rPr>
        <w:t xml:space="preserve"> men som </w:t>
      </w:r>
      <w:r>
        <w:rPr>
          <w:rFonts w:ascii="Cambria" w:hAnsi="Cambria"/>
          <w:lang w:val="sv-SE"/>
        </w:rPr>
        <w:t>enligt bedömningsstödet egentligen bör ske i primärvården</w:t>
      </w:r>
      <w:r w:rsidR="006F0606">
        <w:rPr>
          <w:rFonts w:ascii="Cambria" w:hAnsi="Cambria"/>
          <w:lang w:val="sv-SE"/>
        </w:rPr>
        <w:t>,</w:t>
      </w:r>
      <w:r>
        <w:rPr>
          <w:rFonts w:ascii="Cambria" w:hAnsi="Cambria"/>
          <w:lang w:val="sv-SE"/>
        </w:rPr>
        <w:t xml:space="preserve"> </w:t>
      </w:r>
      <w:r w:rsidR="00A74CDD">
        <w:rPr>
          <w:rFonts w:ascii="Cambria" w:hAnsi="Cambria"/>
          <w:lang w:val="sv-SE"/>
        </w:rPr>
        <w:t>kan härledas till problem inom vårdvalet</w:t>
      </w:r>
      <w:r>
        <w:rPr>
          <w:rFonts w:ascii="Cambria" w:hAnsi="Cambria"/>
          <w:lang w:val="sv-SE"/>
        </w:rPr>
        <w:t xml:space="preserve"> – på det sätt som </w:t>
      </w:r>
      <w:r w:rsidR="006F0606">
        <w:rPr>
          <w:rFonts w:ascii="Cambria" w:hAnsi="Cambria"/>
          <w:lang w:val="sv-SE"/>
        </w:rPr>
        <w:t xml:space="preserve">påstås </w:t>
      </w:r>
      <w:r w:rsidR="00AE5A62">
        <w:rPr>
          <w:rFonts w:ascii="Cambria" w:hAnsi="Cambria"/>
          <w:lang w:val="sv-SE"/>
        </w:rPr>
        <w:t xml:space="preserve">i tjänsteutlåtandet HSN </w:t>
      </w:r>
      <w:proofErr w:type="gramStart"/>
      <w:r w:rsidR="00AE5A62">
        <w:rPr>
          <w:rFonts w:ascii="Cambria" w:hAnsi="Cambria"/>
          <w:lang w:val="sv-SE"/>
        </w:rPr>
        <w:t>2023-0938</w:t>
      </w:r>
      <w:proofErr w:type="gramEnd"/>
      <w:r w:rsidR="00AE5A62">
        <w:rPr>
          <w:rFonts w:ascii="Cambria" w:hAnsi="Cambria"/>
          <w:lang w:val="sv-SE"/>
        </w:rPr>
        <w:t xml:space="preserve"> – </w:t>
      </w:r>
      <w:r w:rsidR="00900A90">
        <w:rPr>
          <w:rFonts w:ascii="Cambria" w:hAnsi="Cambria"/>
          <w:lang w:val="sv-SE"/>
        </w:rPr>
        <w:t>tycks också vara en märklig tolkning</w:t>
      </w:r>
      <w:r w:rsidR="00A74CDD">
        <w:rPr>
          <w:rFonts w:ascii="Cambria" w:hAnsi="Cambria"/>
          <w:lang w:val="sv-SE"/>
        </w:rPr>
        <w:t xml:space="preserve"> av de data som presenteras i utredningen</w:t>
      </w:r>
      <w:r w:rsidR="00AE5A62">
        <w:rPr>
          <w:rFonts w:ascii="Cambria" w:hAnsi="Cambria"/>
          <w:lang w:val="sv-SE"/>
        </w:rPr>
        <w:t xml:space="preserve">. </w:t>
      </w:r>
      <w:r w:rsidR="00A74CDD">
        <w:rPr>
          <w:rFonts w:ascii="Cambria" w:hAnsi="Cambria"/>
          <w:lang w:val="sv-SE"/>
        </w:rPr>
        <w:t xml:space="preserve">Där </w:t>
      </w:r>
      <w:r w:rsidR="002D5319">
        <w:rPr>
          <w:rFonts w:ascii="Cambria" w:hAnsi="Cambria"/>
          <w:lang w:val="sv-SE"/>
        </w:rPr>
        <w:t xml:space="preserve">noterar man nämligen att </w:t>
      </w:r>
      <w:r w:rsidR="00A74CDD">
        <w:rPr>
          <w:rFonts w:ascii="Cambria" w:hAnsi="Cambria"/>
          <w:lang w:val="sv-SE"/>
        </w:rPr>
        <w:t>problemet</w:t>
      </w:r>
      <w:r w:rsidR="002D5319">
        <w:rPr>
          <w:rFonts w:ascii="Cambria" w:hAnsi="Cambria"/>
          <w:lang w:val="sv-SE"/>
        </w:rPr>
        <w:t xml:space="preserve"> beror på en osäkerhet inom </w:t>
      </w:r>
      <w:r w:rsidR="002D5319" w:rsidRPr="002D5319">
        <w:rPr>
          <w:rFonts w:ascii="Cambria" w:hAnsi="Cambria"/>
          <w:lang w:val="sv-SE"/>
        </w:rPr>
        <w:t>primärvården</w:t>
      </w:r>
      <w:r w:rsidR="002D5319">
        <w:rPr>
          <w:rFonts w:ascii="Cambria" w:hAnsi="Cambria"/>
          <w:lang w:val="sv-SE"/>
        </w:rPr>
        <w:t xml:space="preserve"> kring hur man ska hantera ögonpatienter. Man kopplar detta till att en väldigt liten del av läkarutbildningen och specialistutbildningen för allmänläkare utgörs av utbildning i ögonsjukdomar</w:t>
      </w:r>
      <w:r w:rsidR="00900A90">
        <w:rPr>
          <w:rFonts w:ascii="Cambria" w:hAnsi="Cambria"/>
          <w:lang w:val="sv-SE"/>
        </w:rPr>
        <w:t xml:space="preserve"> (HSN </w:t>
      </w:r>
      <w:proofErr w:type="gramStart"/>
      <w:r w:rsidR="00900A90">
        <w:rPr>
          <w:rFonts w:ascii="Cambria" w:hAnsi="Cambria"/>
          <w:lang w:val="sv-SE"/>
        </w:rPr>
        <w:t>2022-0765</w:t>
      </w:r>
      <w:proofErr w:type="gramEnd"/>
      <w:r w:rsidR="00900A90">
        <w:rPr>
          <w:rFonts w:ascii="Cambria" w:hAnsi="Cambria"/>
          <w:lang w:val="sv-SE"/>
        </w:rPr>
        <w:t>)</w:t>
      </w:r>
      <w:r w:rsidR="002D5319">
        <w:rPr>
          <w:rFonts w:ascii="Cambria" w:hAnsi="Cambria"/>
          <w:lang w:val="sv-SE"/>
        </w:rPr>
        <w:t xml:space="preserve">. </w:t>
      </w:r>
      <w:r w:rsidR="00900A90">
        <w:rPr>
          <w:rFonts w:ascii="Cambria" w:hAnsi="Cambria"/>
          <w:lang w:val="sv-SE"/>
        </w:rPr>
        <w:t xml:space="preserve">Det är naturligtvis ett problem att läkare inom primärvården inte har tillräcklig utbildning för att ta hand om patienter enligt regionens riktlinjer, men det är svårt att se </w:t>
      </w:r>
      <w:r w:rsidR="00A67130">
        <w:rPr>
          <w:rFonts w:ascii="Cambria" w:hAnsi="Cambria"/>
          <w:lang w:val="sv-SE"/>
        </w:rPr>
        <w:t xml:space="preserve">vad </w:t>
      </w:r>
      <w:r w:rsidR="00900A90">
        <w:rPr>
          <w:rFonts w:ascii="Cambria" w:hAnsi="Cambria"/>
          <w:lang w:val="sv-SE"/>
        </w:rPr>
        <w:t xml:space="preserve">detta </w:t>
      </w:r>
      <w:r w:rsidR="00640536">
        <w:rPr>
          <w:rFonts w:ascii="Cambria" w:hAnsi="Cambria"/>
          <w:lang w:val="sv-SE"/>
        </w:rPr>
        <w:t>har direkt med</w:t>
      </w:r>
      <w:r w:rsidR="00900A90">
        <w:rPr>
          <w:rFonts w:ascii="Cambria" w:hAnsi="Cambria"/>
          <w:lang w:val="sv-SE"/>
        </w:rPr>
        <w:t xml:space="preserve"> vårdvalet</w:t>
      </w:r>
      <w:r w:rsidR="00640536">
        <w:rPr>
          <w:rFonts w:ascii="Cambria" w:hAnsi="Cambria"/>
          <w:lang w:val="sv-SE"/>
        </w:rPr>
        <w:t xml:space="preserve"> att göra</w:t>
      </w:r>
      <w:r w:rsidR="00900A90">
        <w:rPr>
          <w:rFonts w:ascii="Cambria" w:hAnsi="Cambria"/>
          <w:lang w:val="sv-SE"/>
        </w:rPr>
        <w:t>.</w:t>
      </w:r>
      <w:r w:rsidR="00C0672F">
        <w:rPr>
          <w:rFonts w:ascii="Cambria" w:hAnsi="Cambria"/>
          <w:lang w:val="sv-SE"/>
        </w:rPr>
        <w:t xml:space="preserve"> Om något tyder </w:t>
      </w:r>
      <w:r w:rsidR="004D2FA2">
        <w:rPr>
          <w:rFonts w:ascii="Cambria" w:hAnsi="Cambria"/>
          <w:lang w:val="sv-SE"/>
        </w:rPr>
        <w:t xml:space="preserve">det </w:t>
      </w:r>
      <w:r w:rsidR="00C0672F">
        <w:rPr>
          <w:rFonts w:ascii="Cambria" w:hAnsi="Cambria"/>
          <w:lang w:val="sv-SE"/>
        </w:rPr>
        <w:t xml:space="preserve">på att aktörer inom vårdvalet har säkerställt vård som primärvården har haft </w:t>
      </w:r>
      <w:r w:rsidR="006F0606">
        <w:rPr>
          <w:rFonts w:ascii="Cambria" w:hAnsi="Cambria"/>
          <w:lang w:val="sv-SE"/>
        </w:rPr>
        <w:t xml:space="preserve">svårt </w:t>
      </w:r>
      <w:r w:rsidR="00C0672F">
        <w:rPr>
          <w:rFonts w:ascii="Cambria" w:hAnsi="Cambria"/>
          <w:lang w:val="sv-SE"/>
        </w:rPr>
        <w:t xml:space="preserve">att leverera. </w:t>
      </w:r>
    </w:p>
    <w:bookmarkEnd w:id="7"/>
    <w:p w14:paraId="44913571" w14:textId="77777777" w:rsidR="006B2D57" w:rsidRDefault="006B2D57" w:rsidP="00EA11B3">
      <w:pPr>
        <w:jc w:val="both"/>
        <w:rPr>
          <w:rFonts w:ascii="Cambria" w:hAnsi="Cambria"/>
          <w:lang w:val="sv-SE"/>
        </w:rPr>
      </w:pPr>
    </w:p>
    <w:p w14:paraId="7D819EF5" w14:textId="6CF85528" w:rsidR="00C9151B" w:rsidRPr="00064C96" w:rsidRDefault="00C9151B" w:rsidP="00C9151B">
      <w:pPr>
        <w:pStyle w:val="Rubrik3"/>
        <w:numPr>
          <w:ilvl w:val="2"/>
          <w:numId w:val="2"/>
        </w:numPr>
        <w:rPr>
          <w:rFonts w:asciiTheme="minorHAnsi" w:hAnsiTheme="minorHAnsi"/>
          <w:lang w:val="sv-SE"/>
        </w:rPr>
      </w:pPr>
      <w:bookmarkStart w:id="8" w:name="_Toc164353521"/>
      <w:r>
        <w:rPr>
          <w:rFonts w:asciiTheme="minorHAnsi" w:hAnsiTheme="minorHAnsi"/>
          <w:lang w:val="sv-SE"/>
        </w:rPr>
        <w:t xml:space="preserve">Andra faktorer kan </w:t>
      </w:r>
      <w:r w:rsidR="00714D97">
        <w:rPr>
          <w:rFonts w:asciiTheme="minorHAnsi" w:hAnsiTheme="minorHAnsi"/>
          <w:lang w:val="sv-SE"/>
        </w:rPr>
        <w:t xml:space="preserve">också </w:t>
      </w:r>
      <w:r>
        <w:rPr>
          <w:rFonts w:asciiTheme="minorHAnsi" w:hAnsiTheme="minorHAnsi"/>
          <w:lang w:val="sv-SE"/>
        </w:rPr>
        <w:t>påverka jämförelserna</w:t>
      </w:r>
      <w:bookmarkEnd w:id="8"/>
    </w:p>
    <w:p w14:paraId="3A3B4FB1" w14:textId="77777777" w:rsidR="00F4229E" w:rsidRDefault="00F4229E" w:rsidP="00EA11B3">
      <w:pPr>
        <w:jc w:val="both"/>
        <w:rPr>
          <w:rFonts w:ascii="Cambria" w:hAnsi="Cambria"/>
          <w:lang w:val="sv-SE"/>
        </w:rPr>
      </w:pPr>
    </w:p>
    <w:p w14:paraId="6BE2EDE6" w14:textId="02D5B9B4" w:rsidR="00EA11B3" w:rsidRDefault="00A74CDD" w:rsidP="00EA11B3">
      <w:pPr>
        <w:jc w:val="both"/>
        <w:rPr>
          <w:rFonts w:ascii="Cambria" w:hAnsi="Cambria"/>
          <w:lang w:val="sv-SE"/>
        </w:rPr>
      </w:pPr>
      <w:r>
        <w:rPr>
          <w:rFonts w:ascii="Cambria" w:hAnsi="Cambria"/>
          <w:lang w:val="sv-SE"/>
        </w:rPr>
        <w:t>Problemet med underlaget som presenteras i tjänsteutlåtandena</w:t>
      </w:r>
      <w:r w:rsidR="00A07512">
        <w:rPr>
          <w:rFonts w:ascii="Cambria" w:hAnsi="Cambria"/>
          <w:lang w:val="sv-SE"/>
        </w:rPr>
        <w:t xml:space="preserve"> (och i den kortare utredningen som refereras)</w:t>
      </w:r>
      <w:r>
        <w:rPr>
          <w:rFonts w:ascii="Cambria" w:hAnsi="Cambria"/>
          <w:lang w:val="sv-SE"/>
        </w:rPr>
        <w:t xml:space="preserve"> är dock mer generellt. </w:t>
      </w:r>
      <w:r w:rsidR="00B41DDD">
        <w:rPr>
          <w:rFonts w:ascii="Cambria" w:hAnsi="Cambria"/>
          <w:lang w:val="sv-SE"/>
        </w:rPr>
        <w:t>Att</w:t>
      </w:r>
      <w:r w:rsidR="00EA11B3">
        <w:rPr>
          <w:rFonts w:ascii="Cambria" w:hAnsi="Cambria"/>
          <w:lang w:val="sv-SE"/>
        </w:rPr>
        <w:t xml:space="preserve"> enbart studera förändringar över </w:t>
      </w:r>
      <w:r w:rsidR="00EA11B3">
        <w:rPr>
          <w:rFonts w:ascii="Cambria" w:hAnsi="Cambria"/>
          <w:lang w:val="sv-SE"/>
        </w:rPr>
        <w:lastRenderedPageBreak/>
        <w:t>tid</w:t>
      </w:r>
      <w:r w:rsidR="005434B4">
        <w:rPr>
          <w:rFonts w:ascii="Cambria" w:hAnsi="Cambria"/>
          <w:lang w:val="sv-SE"/>
        </w:rPr>
        <w:t xml:space="preserve"> – även med justeringar för befolkningsstruktur – eller</w:t>
      </w:r>
      <w:r w:rsidR="00EA11B3">
        <w:rPr>
          <w:rFonts w:ascii="Cambria" w:hAnsi="Cambria"/>
          <w:lang w:val="sv-SE"/>
        </w:rPr>
        <w:t xml:space="preserve"> </w:t>
      </w:r>
      <w:r w:rsidR="00675726">
        <w:rPr>
          <w:rFonts w:ascii="Cambria" w:hAnsi="Cambria"/>
          <w:lang w:val="sv-SE"/>
        </w:rPr>
        <w:t xml:space="preserve">att </w:t>
      </w:r>
      <w:r w:rsidR="00EA11B3">
        <w:rPr>
          <w:rFonts w:ascii="Cambria" w:hAnsi="Cambria"/>
          <w:lang w:val="sv-SE"/>
        </w:rPr>
        <w:t xml:space="preserve">jämföra Stockholms utfall med </w:t>
      </w:r>
      <w:r w:rsidR="006F0606">
        <w:rPr>
          <w:rFonts w:ascii="Cambria" w:hAnsi="Cambria"/>
          <w:lang w:val="sv-SE"/>
        </w:rPr>
        <w:t xml:space="preserve">utfall i </w:t>
      </w:r>
      <w:r w:rsidR="00EA11B3">
        <w:rPr>
          <w:rFonts w:ascii="Cambria" w:hAnsi="Cambria"/>
          <w:lang w:val="sv-SE"/>
        </w:rPr>
        <w:t>andra regioner</w:t>
      </w:r>
      <w:r w:rsidR="00B41DDD">
        <w:rPr>
          <w:rFonts w:ascii="Cambria" w:hAnsi="Cambria"/>
          <w:lang w:val="sv-SE"/>
        </w:rPr>
        <w:t>,</w:t>
      </w:r>
      <w:r w:rsidR="00EA11B3">
        <w:rPr>
          <w:rFonts w:ascii="Cambria" w:hAnsi="Cambria"/>
          <w:lang w:val="sv-SE"/>
        </w:rPr>
        <w:t xml:space="preserve"> är </w:t>
      </w:r>
      <w:r>
        <w:rPr>
          <w:rFonts w:ascii="Cambria" w:hAnsi="Cambria"/>
          <w:lang w:val="sv-SE"/>
        </w:rPr>
        <w:t>nämligen</w:t>
      </w:r>
      <w:r w:rsidR="009A73BA">
        <w:rPr>
          <w:rFonts w:ascii="Cambria" w:hAnsi="Cambria"/>
          <w:lang w:val="sv-SE"/>
        </w:rPr>
        <w:t xml:space="preserve"> </w:t>
      </w:r>
      <w:r w:rsidR="00EA11B3">
        <w:rPr>
          <w:rFonts w:ascii="Cambria" w:hAnsi="Cambria"/>
          <w:lang w:val="sv-SE"/>
        </w:rPr>
        <w:t xml:space="preserve">en alldeles för enkel ansats för att studera betydelsen av vårdvalet i sig. Det finns </w:t>
      </w:r>
      <w:r w:rsidR="005434B4">
        <w:rPr>
          <w:rFonts w:ascii="Cambria" w:hAnsi="Cambria"/>
          <w:lang w:val="sv-SE"/>
        </w:rPr>
        <w:t xml:space="preserve">också </w:t>
      </w:r>
      <w:r w:rsidR="00EA11B3">
        <w:rPr>
          <w:rFonts w:ascii="Cambria" w:hAnsi="Cambria"/>
          <w:lang w:val="sv-SE"/>
        </w:rPr>
        <w:t>andra skillnader som kan påverka utfallen över tid och i relation till andra regioner</w:t>
      </w:r>
      <w:r w:rsidR="005434B4">
        <w:rPr>
          <w:rFonts w:ascii="Cambria" w:hAnsi="Cambria"/>
          <w:lang w:val="sv-SE"/>
        </w:rPr>
        <w:t>, som inte har med vårdvalet att göra.</w:t>
      </w:r>
    </w:p>
    <w:p w14:paraId="323D11DC" w14:textId="77777777" w:rsidR="00EA11B3" w:rsidRDefault="00EA11B3" w:rsidP="00B34106">
      <w:pPr>
        <w:jc w:val="both"/>
        <w:rPr>
          <w:rFonts w:ascii="Cambria" w:hAnsi="Cambria"/>
          <w:lang w:val="sv-SE"/>
        </w:rPr>
      </w:pPr>
    </w:p>
    <w:p w14:paraId="231305C3" w14:textId="271D26E6" w:rsidR="00EB1E82" w:rsidRDefault="005434B4" w:rsidP="00B34106">
      <w:pPr>
        <w:jc w:val="both"/>
        <w:rPr>
          <w:rFonts w:ascii="Cambria" w:hAnsi="Cambria"/>
          <w:lang w:val="sv-SE"/>
        </w:rPr>
      </w:pPr>
      <w:r>
        <w:rPr>
          <w:rFonts w:ascii="Cambria" w:hAnsi="Cambria"/>
          <w:lang w:val="sv-SE"/>
        </w:rPr>
        <w:t>Ett exempel på en</w:t>
      </w:r>
      <w:r w:rsidR="003F7268">
        <w:rPr>
          <w:rFonts w:ascii="Cambria" w:hAnsi="Cambria"/>
          <w:lang w:val="sv-SE"/>
        </w:rPr>
        <w:t xml:space="preserve"> sådan faktor </w:t>
      </w:r>
      <w:r w:rsidR="008A661D">
        <w:rPr>
          <w:rFonts w:ascii="Cambria" w:hAnsi="Cambria"/>
          <w:lang w:val="sv-SE"/>
        </w:rPr>
        <w:t>är</w:t>
      </w:r>
      <w:r w:rsidR="00B34106">
        <w:rPr>
          <w:rFonts w:ascii="Cambria" w:hAnsi="Cambria"/>
          <w:lang w:val="sv-SE"/>
        </w:rPr>
        <w:t xml:space="preserve"> att Stockholms vårdgaranti</w:t>
      </w:r>
      <w:r w:rsidR="008A661D">
        <w:rPr>
          <w:rFonts w:ascii="Cambria" w:hAnsi="Cambria"/>
          <w:lang w:val="sv-SE"/>
        </w:rPr>
        <w:t xml:space="preserve"> är </w:t>
      </w:r>
      <w:r w:rsidR="00B34106">
        <w:rPr>
          <w:rFonts w:ascii="Cambria" w:hAnsi="Cambria"/>
          <w:lang w:val="sv-SE"/>
        </w:rPr>
        <w:t xml:space="preserve">striktare än den nationella vårdgaranti som gäller i övriga delar av landet. Medan den nationella vårdgarantin </w:t>
      </w:r>
      <w:r w:rsidR="00E908B5">
        <w:rPr>
          <w:rFonts w:ascii="Cambria" w:hAnsi="Cambria"/>
          <w:lang w:val="sv-SE"/>
        </w:rPr>
        <w:t xml:space="preserve">ska </w:t>
      </w:r>
      <w:r w:rsidR="00B34106">
        <w:rPr>
          <w:rFonts w:ascii="Cambria" w:hAnsi="Cambria"/>
          <w:lang w:val="sv-SE"/>
        </w:rPr>
        <w:t xml:space="preserve">garantera ett första besök hos en specialist inom öppenvården inom 90 dagar har Stockholm </w:t>
      </w:r>
      <w:r w:rsidR="00DF01AC">
        <w:rPr>
          <w:rFonts w:ascii="Cambria" w:hAnsi="Cambria"/>
          <w:lang w:val="sv-SE"/>
        </w:rPr>
        <w:t xml:space="preserve">haft </w:t>
      </w:r>
      <w:r w:rsidR="00B34106">
        <w:rPr>
          <w:rFonts w:ascii="Cambria" w:hAnsi="Cambria"/>
          <w:lang w:val="sv-SE"/>
        </w:rPr>
        <w:t xml:space="preserve">ett striktare krav på 30 dagar. </w:t>
      </w:r>
      <w:r w:rsidR="00867FB4">
        <w:rPr>
          <w:rFonts w:ascii="Cambria" w:hAnsi="Cambria"/>
          <w:lang w:val="sv-SE"/>
        </w:rPr>
        <w:t>U</w:t>
      </w:r>
      <w:r w:rsidR="00B34106">
        <w:rPr>
          <w:rFonts w:ascii="Cambria" w:hAnsi="Cambria"/>
          <w:lang w:val="sv-SE"/>
        </w:rPr>
        <w:t xml:space="preserve">nder de första åren hade man i praktiken </w:t>
      </w:r>
      <w:r w:rsidR="00EB1E82">
        <w:rPr>
          <w:rFonts w:ascii="Cambria" w:hAnsi="Cambria"/>
          <w:lang w:val="sv-SE"/>
        </w:rPr>
        <w:t>visserligen</w:t>
      </w:r>
      <w:r w:rsidR="00867FB4">
        <w:rPr>
          <w:rFonts w:ascii="Cambria" w:hAnsi="Cambria"/>
          <w:lang w:val="sv-SE"/>
        </w:rPr>
        <w:t xml:space="preserve"> </w:t>
      </w:r>
      <w:r w:rsidR="00122235">
        <w:rPr>
          <w:rFonts w:ascii="Cambria" w:hAnsi="Cambria"/>
          <w:lang w:val="sv-SE"/>
        </w:rPr>
        <w:t xml:space="preserve">ofta </w:t>
      </w:r>
      <w:r w:rsidR="00B34106">
        <w:rPr>
          <w:rFonts w:ascii="Cambria" w:hAnsi="Cambria"/>
          <w:lang w:val="sv-SE"/>
        </w:rPr>
        <w:t>svårt att nå upp till sina egna målsättningar</w:t>
      </w:r>
      <w:r w:rsidR="00B22375">
        <w:rPr>
          <w:rFonts w:ascii="Cambria" w:hAnsi="Cambria"/>
          <w:lang w:val="sv-SE"/>
        </w:rPr>
        <w:t xml:space="preserve"> </w:t>
      </w:r>
      <w:r w:rsidR="00B34106">
        <w:rPr>
          <w:rFonts w:ascii="Cambria" w:hAnsi="Cambria"/>
          <w:lang w:val="sv-SE"/>
        </w:rPr>
        <w:t>(</w:t>
      </w:r>
      <w:r w:rsidR="00224003">
        <w:rPr>
          <w:rFonts w:ascii="Cambria" w:hAnsi="Cambria"/>
          <w:lang w:val="sv-SE"/>
        </w:rPr>
        <w:t>Gårdsäter och Mellgren 2008</w:t>
      </w:r>
      <w:r w:rsidR="00B34106">
        <w:rPr>
          <w:rFonts w:ascii="Cambria" w:hAnsi="Cambria"/>
          <w:lang w:val="sv-SE"/>
        </w:rPr>
        <w:t>).</w:t>
      </w:r>
      <w:r w:rsidR="00122235">
        <w:rPr>
          <w:rFonts w:ascii="Cambria" w:hAnsi="Cambria"/>
          <w:lang w:val="sv-SE"/>
        </w:rPr>
        <w:t xml:space="preserve"> </w:t>
      </w:r>
      <w:r w:rsidR="00B34106">
        <w:rPr>
          <w:rFonts w:ascii="Cambria" w:hAnsi="Cambria"/>
          <w:lang w:val="sv-SE"/>
        </w:rPr>
        <w:t xml:space="preserve">Men över tid </w:t>
      </w:r>
      <w:r w:rsidR="006A17C4">
        <w:rPr>
          <w:rFonts w:ascii="Cambria" w:hAnsi="Cambria"/>
          <w:lang w:val="sv-SE"/>
        </w:rPr>
        <w:t>kan</w:t>
      </w:r>
      <w:r w:rsidR="00B34106">
        <w:rPr>
          <w:rFonts w:ascii="Cambria" w:hAnsi="Cambria"/>
          <w:lang w:val="sv-SE"/>
        </w:rPr>
        <w:t xml:space="preserve"> </w:t>
      </w:r>
      <w:r w:rsidR="00122235">
        <w:rPr>
          <w:rFonts w:ascii="Cambria" w:hAnsi="Cambria"/>
          <w:lang w:val="sv-SE"/>
        </w:rPr>
        <w:t xml:space="preserve">den striktare </w:t>
      </w:r>
      <w:r w:rsidR="00B34106">
        <w:rPr>
          <w:rFonts w:ascii="Cambria" w:hAnsi="Cambria"/>
          <w:lang w:val="sv-SE"/>
        </w:rPr>
        <w:t xml:space="preserve">vårdgarantin </w:t>
      </w:r>
      <w:r w:rsidR="006A17C4">
        <w:rPr>
          <w:rFonts w:ascii="Cambria" w:hAnsi="Cambria"/>
          <w:lang w:val="sv-SE"/>
        </w:rPr>
        <w:t>mycket väl</w:t>
      </w:r>
      <w:r w:rsidR="00B34106">
        <w:rPr>
          <w:rFonts w:ascii="Cambria" w:hAnsi="Cambria"/>
          <w:lang w:val="sv-SE"/>
        </w:rPr>
        <w:t xml:space="preserve"> </w:t>
      </w:r>
      <w:r w:rsidR="00122235">
        <w:rPr>
          <w:rFonts w:ascii="Cambria" w:hAnsi="Cambria"/>
          <w:lang w:val="sv-SE"/>
        </w:rPr>
        <w:t xml:space="preserve">ha </w:t>
      </w:r>
      <w:r w:rsidR="00B34106">
        <w:rPr>
          <w:rFonts w:ascii="Cambria" w:hAnsi="Cambria"/>
          <w:lang w:val="sv-SE"/>
        </w:rPr>
        <w:t xml:space="preserve">kommit att påverka utfallen och </w:t>
      </w:r>
      <w:r w:rsidR="006A17C4" w:rsidRPr="00675726">
        <w:rPr>
          <w:rFonts w:ascii="Cambria" w:hAnsi="Cambria"/>
          <w:lang w:val="sv-SE"/>
        </w:rPr>
        <w:t>volymerna</w:t>
      </w:r>
      <w:r w:rsidR="00B34106" w:rsidRPr="00675726">
        <w:rPr>
          <w:rFonts w:ascii="Cambria" w:hAnsi="Cambria"/>
          <w:lang w:val="sv-SE"/>
        </w:rPr>
        <w:t xml:space="preserve"> i Stockholm på ett sätt som skiljer sig från utfallen i andra regioner.</w:t>
      </w:r>
      <w:r w:rsidR="00122235">
        <w:rPr>
          <w:rFonts w:ascii="Cambria" w:hAnsi="Cambria"/>
          <w:lang w:val="sv-SE"/>
        </w:rPr>
        <w:t xml:space="preserve"> </w:t>
      </w:r>
      <w:r w:rsidR="00A0115A">
        <w:rPr>
          <w:rFonts w:ascii="Cambria" w:hAnsi="Cambria"/>
          <w:lang w:val="sv-SE"/>
        </w:rPr>
        <w:t>I så fall bör man förvänta sig att Stockholms utfall avvik</w:t>
      </w:r>
      <w:r w:rsidR="00122235">
        <w:rPr>
          <w:rFonts w:ascii="Cambria" w:hAnsi="Cambria"/>
          <w:lang w:val="sv-SE"/>
        </w:rPr>
        <w:t>er</w:t>
      </w:r>
      <w:r w:rsidR="00A0115A">
        <w:rPr>
          <w:rFonts w:ascii="Cambria" w:hAnsi="Cambria"/>
          <w:lang w:val="sv-SE"/>
        </w:rPr>
        <w:t xml:space="preserve"> från andra delar av landet</w:t>
      </w:r>
      <w:r w:rsidR="00122235">
        <w:rPr>
          <w:rFonts w:ascii="Cambria" w:hAnsi="Cambria"/>
          <w:lang w:val="sv-SE"/>
        </w:rPr>
        <w:t xml:space="preserve">. </w:t>
      </w:r>
      <w:r w:rsidR="00B34106" w:rsidRPr="00675726">
        <w:rPr>
          <w:rFonts w:ascii="Cambria" w:hAnsi="Cambria"/>
          <w:lang w:val="sv-SE"/>
        </w:rPr>
        <w:t xml:space="preserve">Detta är </w:t>
      </w:r>
      <w:r w:rsidR="00E920A2" w:rsidRPr="00675726">
        <w:rPr>
          <w:rFonts w:ascii="Cambria" w:hAnsi="Cambria"/>
          <w:lang w:val="sv-SE"/>
        </w:rPr>
        <w:t xml:space="preserve">också </w:t>
      </w:r>
      <w:r w:rsidR="00B34106" w:rsidRPr="00675726">
        <w:rPr>
          <w:rFonts w:ascii="Cambria" w:hAnsi="Cambria"/>
          <w:lang w:val="sv-SE"/>
        </w:rPr>
        <w:t>något som har noterats i jämförelser av vårdköer mellan regionerna (</w:t>
      </w:r>
      <w:proofErr w:type="spellStart"/>
      <w:r w:rsidR="00B34106" w:rsidRPr="00675726">
        <w:rPr>
          <w:rFonts w:ascii="Cambria" w:hAnsi="Cambria"/>
          <w:lang w:val="sv-SE"/>
        </w:rPr>
        <w:t>Örstadius</w:t>
      </w:r>
      <w:proofErr w:type="spellEnd"/>
      <w:r w:rsidR="00B34106" w:rsidRPr="00675726">
        <w:rPr>
          <w:rFonts w:ascii="Cambria" w:hAnsi="Cambria"/>
          <w:lang w:val="sv-SE"/>
        </w:rPr>
        <w:t xml:space="preserve"> </w:t>
      </w:r>
      <w:r w:rsidR="00E920A2" w:rsidRPr="00675726">
        <w:rPr>
          <w:rFonts w:ascii="Cambria" w:hAnsi="Cambria"/>
          <w:lang w:val="sv-SE"/>
        </w:rPr>
        <w:t>2018</w:t>
      </w:r>
      <w:r w:rsidR="00B34106" w:rsidRPr="00675726">
        <w:rPr>
          <w:rFonts w:ascii="Cambria" w:hAnsi="Cambria"/>
          <w:lang w:val="sv-SE"/>
        </w:rPr>
        <w:t>), men det gäller naturligtvis även andra</w:t>
      </w:r>
      <w:r w:rsidR="00A0115A">
        <w:rPr>
          <w:rFonts w:ascii="Cambria" w:hAnsi="Cambria"/>
          <w:lang w:val="sv-SE"/>
        </w:rPr>
        <w:t xml:space="preserve"> </w:t>
      </w:r>
      <w:r w:rsidR="006F0606">
        <w:rPr>
          <w:rFonts w:ascii="Cambria" w:hAnsi="Cambria"/>
          <w:lang w:val="sv-SE"/>
        </w:rPr>
        <w:t>utfall</w:t>
      </w:r>
      <w:r w:rsidR="00CB2902">
        <w:rPr>
          <w:rFonts w:ascii="Cambria" w:hAnsi="Cambria"/>
          <w:lang w:val="sv-SE"/>
        </w:rPr>
        <w:t>, inklusive vårdvolymerna.</w:t>
      </w:r>
      <w:r w:rsidR="00F3765B">
        <w:rPr>
          <w:rStyle w:val="Fotnotsreferens"/>
          <w:rFonts w:ascii="Cambria" w:hAnsi="Cambria"/>
          <w:lang w:val="sv-SE"/>
        </w:rPr>
        <w:footnoteReference w:id="5"/>
      </w:r>
    </w:p>
    <w:p w14:paraId="02E473A0" w14:textId="77777777" w:rsidR="00EB1E82" w:rsidRDefault="00EB1E82" w:rsidP="00B34106">
      <w:pPr>
        <w:jc w:val="both"/>
        <w:rPr>
          <w:rFonts w:ascii="Cambria" w:hAnsi="Cambria"/>
          <w:lang w:val="sv-SE"/>
        </w:rPr>
      </w:pPr>
    </w:p>
    <w:p w14:paraId="6FC548E1" w14:textId="656EB0B7" w:rsidR="00122235" w:rsidRDefault="00122235" w:rsidP="00B34106">
      <w:pPr>
        <w:jc w:val="both"/>
        <w:rPr>
          <w:rFonts w:ascii="Cambria" w:hAnsi="Cambria"/>
          <w:lang w:val="sv-SE"/>
        </w:rPr>
      </w:pPr>
      <w:r>
        <w:rPr>
          <w:rFonts w:ascii="Cambria" w:hAnsi="Cambria"/>
          <w:lang w:val="sv-SE"/>
        </w:rPr>
        <w:t>Likaså kan den nationella vårdgarantin mer generellt ha påverkat olika regioner på olika sätt</w:t>
      </w:r>
      <w:r w:rsidR="0004479A">
        <w:rPr>
          <w:rFonts w:ascii="Cambria" w:hAnsi="Cambria"/>
          <w:lang w:val="sv-SE"/>
        </w:rPr>
        <w:t xml:space="preserve"> – exempelvis på grund av </w:t>
      </w:r>
      <w:r w:rsidR="00D619F1">
        <w:rPr>
          <w:rFonts w:ascii="Cambria" w:hAnsi="Cambria"/>
          <w:lang w:val="sv-SE"/>
        </w:rPr>
        <w:t>regionala</w:t>
      </w:r>
      <w:r w:rsidR="0004479A">
        <w:rPr>
          <w:rFonts w:ascii="Cambria" w:hAnsi="Cambria"/>
          <w:lang w:val="sv-SE"/>
        </w:rPr>
        <w:t xml:space="preserve"> infrastruktur</w:t>
      </w:r>
      <w:r w:rsidR="00D619F1">
        <w:rPr>
          <w:rFonts w:ascii="Cambria" w:hAnsi="Cambria"/>
          <w:lang w:val="sv-SE"/>
        </w:rPr>
        <w:t>skillnader</w:t>
      </w:r>
      <w:r w:rsidR="0004479A">
        <w:rPr>
          <w:rFonts w:ascii="Cambria" w:hAnsi="Cambria"/>
          <w:lang w:val="sv-SE"/>
        </w:rPr>
        <w:t xml:space="preserve"> i vården </w:t>
      </w:r>
      <w:r w:rsidR="002A1C46">
        <w:rPr>
          <w:rFonts w:ascii="Cambria" w:hAnsi="Cambria"/>
          <w:lang w:val="sv-SE"/>
        </w:rPr>
        <w:t xml:space="preserve">som </w:t>
      </w:r>
      <w:r w:rsidR="0004479A">
        <w:rPr>
          <w:rFonts w:ascii="Cambria" w:hAnsi="Cambria"/>
          <w:lang w:val="sv-SE"/>
        </w:rPr>
        <w:t xml:space="preserve">ökar eller minskar möjligheterna att säkerställa </w:t>
      </w:r>
      <w:r w:rsidR="009815B1">
        <w:rPr>
          <w:rFonts w:ascii="Cambria" w:hAnsi="Cambria"/>
          <w:lang w:val="sv-SE"/>
        </w:rPr>
        <w:t>vårdgarantin</w:t>
      </w:r>
      <w:r w:rsidR="00D619F1">
        <w:rPr>
          <w:rFonts w:ascii="Cambria" w:hAnsi="Cambria"/>
          <w:lang w:val="sv-SE"/>
        </w:rPr>
        <w:t xml:space="preserve"> </w:t>
      </w:r>
      <w:r w:rsidR="0004479A">
        <w:rPr>
          <w:rFonts w:ascii="Cambria" w:hAnsi="Cambria"/>
          <w:lang w:val="sv-SE"/>
        </w:rPr>
        <w:t xml:space="preserve">– </w:t>
      </w:r>
      <w:r>
        <w:rPr>
          <w:rFonts w:ascii="Cambria" w:hAnsi="Cambria"/>
          <w:lang w:val="sv-SE"/>
        </w:rPr>
        <w:t xml:space="preserve">både efter </w:t>
      </w:r>
      <w:r w:rsidR="00EB1E82">
        <w:rPr>
          <w:rFonts w:ascii="Cambria" w:hAnsi="Cambria"/>
          <w:lang w:val="sv-SE"/>
        </w:rPr>
        <w:t>vårdgarantins införande</w:t>
      </w:r>
      <w:r w:rsidR="00E733E0">
        <w:rPr>
          <w:rFonts w:ascii="Cambria" w:hAnsi="Cambria"/>
          <w:lang w:val="sv-SE"/>
        </w:rPr>
        <w:t xml:space="preserve"> i </w:t>
      </w:r>
      <w:r>
        <w:rPr>
          <w:rFonts w:ascii="Cambria" w:hAnsi="Cambria"/>
          <w:lang w:val="sv-SE"/>
        </w:rPr>
        <w:t>november 2005 och efter de</w:t>
      </w:r>
      <w:r w:rsidR="00D619F1">
        <w:rPr>
          <w:rFonts w:ascii="Cambria" w:hAnsi="Cambria"/>
          <w:lang w:val="sv-SE"/>
        </w:rPr>
        <w:t xml:space="preserve">t att den </w:t>
      </w:r>
      <w:r>
        <w:rPr>
          <w:rFonts w:ascii="Cambria" w:hAnsi="Cambria"/>
          <w:lang w:val="sv-SE"/>
        </w:rPr>
        <w:t>lagstadgades</w:t>
      </w:r>
      <w:r w:rsidR="000916A8">
        <w:rPr>
          <w:rFonts w:ascii="Cambria" w:hAnsi="Cambria"/>
          <w:lang w:val="sv-SE"/>
        </w:rPr>
        <w:t xml:space="preserve"> i juli 2010</w:t>
      </w:r>
      <w:r w:rsidR="0004479A">
        <w:rPr>
          <w:rFonts w:ascii="Cambria" w:hAnsi="Cambria"/>
          <w:lang w:val="sv-SE"/>
        </w:rPr>
        <w:t xml:space="preserve">. </w:t>
      </w:r>
    </w:p>
    <w:p w14:paraId="08306B72" w14:textId="77777777" w:rsidR="00122235" w:rsidRDefault="00122235" w:rsidP="00B34106">
      <w:pPr>
        <w:jc w:val="both"/>
        <w:rPr>
          <w:rFonts w:ascii="Cambria" w:hAnsi="Cambria"/>
          <w:lang w:val="sv-SE"/>
        </w:rPr>
      </w:pPr>
    </w:p>
    <w:p w14:paraId="5F8145B8" w14:textId="5785EF76" w:rsidR="00B34106" w:rsidRDefault="00122235" w:rsidP="00B34106">
      <w:pPr>
        <w:jc w:val="both"/>
        <w:rPr>
          <w:rFonts w:ascii="Cambria" w:hAnsi="Cambria"/>
          <w:lang w:val="sv-SE"/>
        </w:rPr>
      </w:pPr>
      <w:r>
        <w:rPr>
          <w:rFonts w:ascii="Cambria" w:hAnsi="Cambria"/>
          <w:lang w:val="sv-SE"/>
        </w:rPr>
        <w:t>Kanske ännu viktigare är att</w:t>
      </w:r>
      <w:r w:rsidR="00511BDC">
        <w:rPr>
          <w:rFonts w:ascii="Cambria" w:hAnsi="Cambria"/>
          <w:lang w:val="sv-SE"/>
        </w:rPr>
        <w:t xml:space="preserve"> </w:t>
      </w:r>
      <w:r>
        <w:rPr>
          <w:rFonts w:ascii="Cambria" w:hAnsi="Cambria"/>
          <w:lang w:val="sv-SE"/>
        </w:rPr>
        <w:t xml:space="preserve">(den striktare) </w:t>
      </w:r>
      <w:r w:rsidR="00511BDC">
        <w:rPr>
          <w:rFonts w:ascii="Cambria" w:hAnsi="Cambria"/>
          <w:lang w:val="sv-SE"/>
        </w:rPr>
        <w:t>vårdgarantin</w:t>
      </w:r>
      <w:r w:rsidR="009A62B9">
        <w:rPr>
          <w:rFonts w:ascii="Cambria" w:hAnsi="Cambria"/>
          <w:lang w:val="sv-SE"/>
        </w:rPr>
        <w:t xml:space="preserve"> och vårdvalet </w:t>
      </w:r>
      <w:r w:rsidR="00F44430">
        <w:rPr>
          <w:rFonts w:ascii="Cambria" w:hAnsi="Cambria"/>
          <w:lang w:val="sv-SE"/>
        </w:rPr>
        <w:t>kan ha</w:t>
      </w:r>
      <w:r w:rsidR="00C92225">
        <w:rPr>
          <w:rFonts w:ascii="Cambria" w:hAnsi="Cambria"/>
          <w:lang w:val="sv-SE"/>
        </w:rPr>
        <w:t xml:space="preserve"> interagerat</w:t>
      </w:r>
      <w:r w:rsidR="009A62B9">
        <w:rPr>
          <w:rFonts w:ascii="Cambria" w:hAnsi="Cambria"/>
          <w:lang w:val="sv-SE"/>
        </w:rPr>
        <w:t xml:space="preserve"> vad gäller</w:t>
      </w:r>
      <w:r w:rsidR="00511BDC">
        <w:rPr>
          <w:rFonts w:ascii="Cambria" w:hAnsi="Cambria"/>
          <w:lang w:val="sv-SE"/>
        </w:rPr>
        <w:t xml:space="preserve"> effekter</w:t>
      </w:r>
      <w:r w:rsidR="009A62B9">
        <w:rPr>
          <w:rFonts w:ascii="Cambria" w:hAnsi="Cambria"/>
          <w:lang w:val="sv-SE"/>
        </w:rPr>
        <w:t>na</w:t>
      </w:r>
      <w:r w:rsidR="00511BDC">
        <w:rPr>
          <w:rFonts w:ascii="Cambria" w:hAnsi="Cambria"/>
          <w:lang w:val="sv-SE"/>
        </w:rPr>
        <w:t xml:space="preserve"> på volymern</w:t>
      </w:r>
      <w:r w:rsidR="009A62B9">
        <w:rPr>
          <w:rFonts w:ascii="Cambria" w:hAnsi="Cambria"/>
          <w:lang w:val="sv-SE"/>
        </w:rPr>
        <w:t>a</w:t>
      </w:r>
      <w:r>
        <w:rPr>
          <w:rFonts w:ascii="Cambria" w:hAnsi="Cambria"/>
          <w:lang w:val="sv-SE"/>
        </w:rPr>
        <w:t xml:space="preserve"> i Stockholm</w:t>
      </w:r>
      <w:r w:rsidR="006F0606">
        <w:rPr>
          <w:rFonts w:ascii="Cambria" w:hAnsi="Cambria"/>
          <w:lang w:val="sv-SE"/>
        </w:rPr>
        <w:t xml:space="preserve">. Detta </w:t>
      </w:r>
      <w:r w:rsidR="00631063">
        <w:rPr>
          <w:rFonts w:ascii="Cambria" w:hAnsi="Cambria"/>
          <w:lang w:val="sv-SE"/>
        </w:rPr>
        <w:t>skulle kunna vara fallet</w:t>
      </w:r>
      <w:r w:rsidR="009A62B9">
        <w:rPr>
          <w:rFonts w:ascii="Cambria" w:hAnsi="Cambria"/>
          <w:lang w:val="sv-SE"/>
        </w:rPr>
        <w:t xml:space="preserve"> om vårdvalet </w:t>
      </w:r>
      <w:r w:rsidR="00631063">
        <w:rPr>
          <w:rFonts w:ascii="Cambria" w:hAnsi="Cambria"/>
          <w:lang w:val="sv-SE"/>
        </w:rPr>
        <w:t xml:space="preserve">ökar möjligheterna att </w:t>
      </w:r>
      <w:r w:rsidR="009A62B9">
        <w:rPr>
          <w:rFonts w:ascii="Cambria" w:hAnsi="Cambria"/>
          <w:lang w:val="sv-SE"/>
        </w:rPr>
        <w:t xml:space="preserve">uppnå </w:t>
      </w:r>
      <w:r>
        <w:rPr>
          <w:rFonts w:ascii="Cambria" w:hAnsi="Cambria"/>
          <w:lang w:val="sv-SE"/>
        </w:rPr>
        <w:t xml:space="preserve">(den striktare) </w:t>
      </w:r>
      <w:r w:rsidR="009A62B9">
        <w:rPr>
          <w:rFonts w:ascii="Cambria" w:hAnsi="Cambria"/>
          <w:lang w:val="sv-SE"/>
        </w:rPr>
        <w:t>vårdgarantins målsättningar.</w:t>
      </w:r>
      <w:r>
        <w:rPr>
          <w:rFonts w:ascii="Cambria" w:hAnsi="Cambria"/>
          <w:lang w:val="sv-SE"/>
        </w:rPr>
        <w:t xml:space="preserve"> </w:t>
      </w:r>
    </w:p>
    <w:p w14:paraId="7D5C7E81" w14:textId="77777777" w:rsidR="00B34106" w:rsidRDefault="00B34106" w:rsidP="00B34106">
      <w:pPr>
        <w:jc w:val="both"/>
        <w:rPr>
          <w:rFonts w:ascii="Cambria" w:hAnsi="Cambria"/>
          <w:lang w:val="sv-SE"/>
        </w:rPr>
      </w:pPr>
    </w:p>
    <w:p w14:paraId="5BCF4816" w14:textId="5ADB68F4" w:rsidR="00BC2E42" w:rsidRPr="00364D72" w:rsidRDefault="009A62B9" w:rsidP="00B34106">
      <w:pPr>
        <w:jc w:val="both"/>
        <w:rPr>
          <w:rFonts w:ascii="Cambria" w:hAnsi="Cambria"/>
          <w:lang w:val="sv-SE"/>
        </w:rPr>
      </w:pPr>
      <w:r w:rsidRPr="007C4791">
        <w:rPr>
          <w:rFonts w:ascii="Cambria" w:hAnsi="Cambria"/>
          <w:lang w:val="sv-SE"/>
        </w:rPr>
        <w:t>Dessa</w:t>
      </w:r>
      <w:r w:rsidR="00B34106" w:rsidRPr="007C4791">
        <w:rPr>
          <w:rFonts w:ascii="Cambria" w:hAnsi="Cambria"/>
          <w:lang w:val="sv-SE"/>
        </w:rPr>
        <w:t xml:space="preserve"> problem </w:t>
      </w:r>
      <w:r w:rsidR="0062105E" w:rsidRPr="007C4791">
        <w:rPr>
          <w:rFonts w:ascii="Cambria" w:hAnsi="Cambria"/>
          <w:lang w:val="sv-SE"/>
        </w:rPr>
        <w:t xml:space="preserve">ignoreras dock </w:t>
      </w:r>
      <w:r w:rsidR="00B34106" w:rsidRPr="00D619F1">
        <w:rPr>
          <w:rFonts w:ascii="Cambria" w:hAnsi="Cambria"/>
          <w:lang w:val="sv-SE"/>
        </w:rPr>
        <w:t>i regionens analyser av vad som kan tänkas ligga bakom</w:t>
      </w:r>
      <w:r w:rsidR="00B34106">
        <w:rPr>
          <w:rFonts w:ascii="Cambria" w:hAnsi="Cambria"/>
          <w:lang w:val="sv-SE"/>
        </w:rPr>
        <w:t xml:space="preserve"> skillnaderna mellan Stockholm och andra regioner</w:t>
      </w:r>
      <w:r w:rsidR="00A30EF2">
        <w:rPr>
          <w:rFonts w:ascii="Cambria" w:hAnsi="Cambria"/>
          <w:lang w:val="sv-SE"/>
        </w:rPr>
        <w:t xml:space="preserve">, som mycket riktigt </w:t>
      </w:r>
      <w:r w:rsidR="00B32DFF">
        <w:rPr>
          <w:rFonts w:ascii="Cambria" w:hAnsi="Cambria"/>
          <w:lang w:val="sv-SE"/>
        </w:rPr>
        <w:t xml:space="preserve">är </w:t>
      </w:r>
      <w:r w:rsidR="00B32DFF" w:rsidRPr="00364D72">
        <w:rPr>
          <w:rFonts w:ascii="Cambria" w:hAnsi="Cambria"/>
          <w:lang w:val="sv-SE"/>
        </w:rPr>
        <w:t>stora även när man justerar för population och åldersstruktur (</w:t>
      </w:r>
      <w:r w:rsidR="00043B77" w:rsidRPr="00364D72">
        <w:rPr>
          <w:rFonts w:ascii="Cambria" w:hAnsi="Cambria"/>
          <w:lang w:val="sv-SE"/>
        </w:rPr>
        <w:t xml:space="preserve">HSN </w:t>
      </w:r>
      <w:proofErr w:type="gramStart"/>
      <w:r w:rsidR="00043B77" w:rsidRPr="00364D72">
        <w:rPr>
          <w:rFonts w:ascii="Cambria" w:hAnsi="Cambria"/>
          <w:lang w:val="sv-SE"/>
        </w:rPr>
        <w:t>2022-0765</w:t>
      </w:r>
      <w:proofErr w:type="gramEnd"/>
      <w:r w:rsidR="00043B77" w:rsidRPr="00364D72">
        <w:rPr>
          <w:rFonts w:ascii="Cambria" w:hAnsi="Cambria"/>
          <w:lang w:val="sv-SE"/>
        </w:rPr>
        <w:t xml:space="preserve">; </w:t>
      </w:r>
      <w:r w:rsidR="00B32DFF" w:rsidRPr="00364D72">
        <w:rPr>
          <w:rFonts w:ascii="Cambria" w:hAnsi="Cambria"/>
          <w:lang w:val="sv-SE"/>
        </w:rPr>
        <w:t>Socialstyrelsen 2024).</w:t>
      </w:r>
      <w:r w:rsidR="00D619F1">
        <w:rPr>
          <w:rFonts w:ascii="Cambria" w:hAnsi="Cambria"/>
          <w:lang w:val="sv-SE"/>
        </w:rPr>
        <w:t xml:space="preserve"> Problemen har inte heller fått någon fullständig lösning i de svenska studier som diskuteras i avsnitt 4.3. </w:t>
      </w:r>
    </w:p>
    <w:p w14:paraId="42B87D12" w14:textId="77777777" w:rsidR="00A0115A" w:rsidRPr="00364D72" w:rsidRDefault="00A0115A" w:rsidP="00B34106">
      <w:pPr>
        <w:jc w:val="both"/>
        <w:rPr>
          <w:rFonts w:ascii="Cambria" w:hAnsi="Cambria"/>
          <w:lang w:val="sv-SE"/>
        </w:rPr>
      </w:pPr>
    </w:p>
    <w:p w14:paraId="4E44AB96" w14:textId="527391F8" w:rsidR="00A81590" w:rsidRDefault="00A30EF2" w:rsidP="00B34106">
      <w:pPr>
        <w:jc w:val="both"/>
        <w:rPr>
          <w:rFonts w:ascii="Cambria" w:hAnsi="Cambria"/>
          <w:lang w:val="sv-SE"/>
        </w:rPr>
      </w:pPr>
      <w:r>
        <w:rPr>
          <w:rFonts w:ascii="Cambria" w:hAnsi="Cambria"/>
          <w:lang w:val="sv-SE"/>
        </w:rPr>
        <w:t xml:space="preserve">Olika </w:t>
      </w:r>
      <w:r w:rsidR="00253C93">
        <w:rPr>
          <w:rFonts w:ascii="Cambria" w:hAnsi="Cambria"/>
          <w:lang w:val="sv-SE"/>
        </w:rPr>
        <w:t xml:space="preserve">strikta </w:t>
      </w:r>
      <w:r>
        <w:rPr>
          <w:rFonts w:ascii="Cambria" w:hAnsi="Cambria"/>
          <w:lang w:val="sv-SE"/>
        </w:rPr>
        <w:t>vårdgarantier</w:t>
      </w:r>
      <w:r w:rsidR="00253C93">
        <w:rPr>
          <w:rFonts w:ascii="Cambria" w:hAnsi="Cambria"/>
          <w:lang w:val="sv-SE"/>
        </w:rPr>
        <w:t xml:space="preserve"> inom specialistvården</w:t>
      </w:r>
      <w:r w:rsidR="00A81590" w:rsidRPr="00364D72">
        <w:rPr>
          <w:rFonts w:ascii="Cambria" w:hAnsi="Cambria"/>
          <w:lang w:val="sv-SE"/>
        </w:rPr>
        <w:t xml:space="preserve"> </w:t>
      </w:r>
      <w:r w:rsidR="00E467CC">
        <w:rPr>
          <w:rFonts w:ascii="Cambria" w:hAnsi="Cambria"/>
          <w:lang w:val="sv-SE"/>
        </w:rPr>
        <w:t xml:space="preserve">utgör dock </w:t>
      </w:r>
      <w:r w:rsidR="00A81590" w:rsidRPr="00364D72">
        <w:rPr>
          <w:rFonts w:ascii="Cambria" w:hAnsi="Cambria"/>
          <w:lang w:val="sv-SE"/>
        </w:rPr>
        <w:t xml:space="preserve">bara ett </w:t>
      </w:r>
      <w:r w:rsidR="00E467CC">
        <w:rPr>
          <w:rFonts w:ascii="Cambria" w:hAnsi="Cambria"/>
          <w:lang w:val="sv-SE"/>
        </w:rPr>
        <w:t xml:space="preserve">bland flera möjliga </w:t>
      </w:r>
      <w:r w:rsidR="00A81590" w:rsidRPr="00364D72">
        <w:rPr>
          <w:rFonts w:ascii="Cambria" w:hAnsi="Cambria"/>
          <w:lang w:val="sv-SE"/>
        </w:rPr>
        <w:t>exempel. Det finns många andra faktorer som kan påverka vårdvolymerna i Stockholm över tid och i jämförelse</w:t>
      </w:r>
      <w:r w:rsidR="00A81590">
        <w:rPr>
          <w:rFonts w:ascii="Cambria" w:hAnsi="Cambria"/>
          <w:lang w:val="sv-SE"/>
        </w:rPr>
        <w:t xml:space="preserve"> med andra regioner. Poängen är att den evidens som regionen åberopar till stöd för avskaffandet av vårdval</w:t>
      </w:r>
      <w:r w:rsidR="00253C93">
        <w:rPr>
          <w:rFonts w:ascii="Cambria" w:hAnsi="Cambria"/>
          <w:lang w:val="sv-SE"/>
        </w:rPr>
        <w:t>et inom ögonsjukvården</w:t>
      </w:r>
      <w:r w:rsidR="00A81590">
        <w:rPr>
          <w:rFonts w:ascii="Cambria" w:hAnsi="Cambria"/>
          <w:lang w:val="sv-SE"/>
        </w:rPr>
        <w:t xml:space="preserve"> är långt ifrån tillräcklig för att dra slutsatser om </w:t>
      </w:r>
      <w:r w:rsidR="00D619F1">
        <w:rPr>
          <w:rFonts w:ascii="Cambria" w:hAnsi="Cambria"/>
          <w:lang w:val="sv-SE"/>
        </w:rPr>
        <w:t xml:space="preserve">avskaffandets </w:t>
      </w:r>
      <w:r w:rsidR="00074B2C">
        <w:rPr>
          <w:rFonts w:ascii="Cambria" w:hAnsi="Cambria"/>
          <w:lang w:val="sv-SE"/>
        </w:rPr>
        <w:t>konsekvenser</w:t>
      </w:r>
      <w:r w:rsidR="00A81590">
        <w:rPr>
          <w:rFonts w:ascii="Cambria" w:hAnsi="Cambria"/>
          <w:lang w:val="sv-SE"/>
        </w:rPr>
        <w:t>.</w:t>
      </w:r>
    </w:p>
    <w:p w14:paraId="48F92B00" w14:textId="77777777" w:rsidR="00A81590" w:rsidRPr="00007E9E" w:rsidRDefault="00A81590" w:rsidP="00B34106">
      <w:pPr>
        <w:jc w:val="both"/>
        <w:rPr>
          <w:rFonts w:ascii="Cambria" w:hAnsi="Cambria"/>
          <w:lang w:val="sv-SE"/>
        </w:rPr>
      </w:pPr>
    </w:p>
    <w:p w14:paraId="5F70FCA6" w14:textId="38ECFE1C" w:rsidR="008219AC" w:rsidRPr="00064C96" w:rsidRDefault="00007E9E" w:rsidP="008219AC">
      <w:pPr>
        <w:pStyle w:val="Rubrik3"/>
        <w:numPr>
          <w:ilvl w:val="2"/>
          <w:numId w:val="2"/>
        </w:numPr>
        <w:rPr>
          <w:rFonts w:asciiTheme="minorHAnsi" w:hAnsiTheme="minorHAnsi"/>
          <w:lang w:val="sv-SE"/>
        </w:rPr>
      </w:pPr>
      <w:bookmarkStart w:id="9" w:name="_Toc164353522"/>
      <w:r>
        <w:rPr>
          <w:rFonts w:asciiTheme="minorHAnsi" w:hAnsiTheme="minorHAnsi"/>
          <w:lang w:val="sv-SE"/>
        </w:rPr>
        <w:t>Em</w:t>
      </w:r>
      <w:r w:rsidR="00EE5BF3">
        <w:rPr>
          <w:rFonts w:asciiTheme="minorHAnsi" w:hAnsiTheme="minorHAnsi"/>
          <w:lang w:val="sv-SE"/>
        </w:rPr>
        <w:t xml:space="preserve">pirisk </w:t>
      </w:r>
      <w:r>
        <w:rPr>
          <w:rFonts w:asciiTheme="minorHAnsi" w:hAnsiTheme="minorHAnsi"/>
          <w:lang w:val="sv-SE"/>
        </w:rPr>
        <w:t>analys</w:t>
      </w:r>
      <w:bookmarkEnd w:id="9"/>
      <w:r>
        <w:rPr>
          <w:rFonts w:asciiTheme="minorHAnsi" w:hAnsiTheme="minorHAnsi"/>
          <w:lang w:val="sv-SE"/>
        </w:rPr>
        <w:t xml:space="preserve"> </w:t>
      </w:r>
    </w:p>
    <w:p w14:paraId="63661CF0" w14:textId="77777777" w:rsidR="008219AC" w:rsidRDefault="008219AC" w:rsidP="00B34106">
      <w:pPr>
        <w:jc w:val="both"/>
        <w:rPr>
          <w:rFonts w:asciiTheme="minorHAnsi" w:hAnsiTheme="minorHAnsi"/>
          <w:lang w:val="sv-SE"/>
        </w:rPr>
      </w:pPr>
    </w:p>
    <w:p w14:paraId="4F5ACA40" w14:textId="45236004" w:rsidR="00A76925" w:rsidRDefault="003F7268" w:rsidP="00B34106">
      <w:pPr>
        <w:jc w:val="both"/>
        <w:rPr>
          <w:rFonts w:asciiTheme="minorHAnsi" w:hAnsiTheme="minorHAnsi"/>
          <w:lang w:val="sv-SE"/>
        </w:rPr>
      </w:pPr>
      <w:r w:rsidRPr="00064C96">
        <w:rPr>
          <w:rFonts w:asciiTheme="minorHAnsi" w:hAnsiTheme="minorHAnsi"/>
          <w:lang w:val="sv-SE"/>
        </w:rPr>
        <w:t xml:space="preserve">En bättre ansats är att studera </w:t>
      </w:r>
      <w:r w:rsidR="00AA7391" w:rsidRPr="00064C96">
        <w:rPr>
          <w:rFonts w:asciiTheme="minorHAnsi" w:hAnsiTheme="minorHAnsi"/>
          <w:lang w:val="sv-SE"/>
        </w:rPr>
        <w:t xml:space="preserve">huruvida </w:t>
      </w:r>
      <w:r w:rsidR="00140728">
        <w:rPr>
          <w:rFonts w:asciiTheme="minorHAnsi" w:hAnsiTheme="minorHAnsi"/>
          <w:lang w:val="sv-SE"/>
        </w:rPr>
        <w:t>det uppstår ett trendbrott</w:t>
      </w:r>
      <w:r w:rsidRPr="00064C96">
        <w:rPr>
          <w:rFonts w:asciiTheme="minorHAnsi" w:hAnsiTheme="minorHAnsi"/>
          <w:lang w:val="sv-SE"/>
        </w:rPr>
        <w:t xml:space="preserve"> i samband med att vårdvalet införs</w:t>
      </w:r>
      <w:r w:rsidR="00CB2902">
        <w:rPr>
          <w:rFonts w:asciiTheme="minorHAnsi" w:hAnsiTheme="minorHAnsi"/>
          <w:lang w:val="sv-SE"/>
        </w:rPr>
        <w:t>, både absolut sett och i relation till övriga landet</w:t>
      </w:r>
      <w:r w:rsidRPr="00064C96">
        <w:rPr>
          <w:rFonts w:asciiTheme="minorHAnsi" w:hAnsiTheme="minorHAnsi"/>
          <w:lang w:val="sv-SE"/>
        </w:rPr>
        <w:t xml:space="preserve">. </w:t>
      </w:r>
      <w:r w:rsidR="00140728">
        <w:rPr>
          <w:rFonts w:asciiTheme="minorHAnsi" w:hAnsiTheme="minorHAnsi"/>
          <w:lang w:val="sv-SE"/>
        </w:rPr>
        <w:t>Och som</w:t>
      </w:r>
      <w:r w:rsidR="00AA7391" w:rsidRPr="00064C96">
        <w:rPr>
          <w:rFonts w:asciiTheme="minorHAnsi" w:hAnsiTheme="minorHAnsi"/>
          <w:lang w:val="sv-SE"/>
        </w:rPr>
        <w:t xml:space="preserve"> visas i figur 1 sker det ett tydligt hopp i</w:t>
      </w:r>
      <w:r w:rsidR="00CE1B60" w:rsidRPr="00064C96">
        <w:rPr>
          <w:rFonts w:asciiTheme="minorHAnsi" w:hAnsiTheme="minorHAnsi"/>
          <w:lang w:val="sv-SE"/>
        </w:rPr>
        <w:t xml:space="preserve"> </w:t>
      </w:r>
      <w:r w:rsidR="009A7466" w:rsidRPr="00064C96">
        <w:rPr>
          <w:rFonts w:asciiTheme="minorHAnsi" w:hAnsiTheme="minorHAnsi"/>
          <w:lang w:val="sv-SE"/>
        </w:rPr>
        <w:t>(ålders</w:t>
      </w:r>
      <w:r w:rsidR="00DF0A02">
        <w:rPr>
          <w:rFonts w:asciiTheme="minorHAnsi" w:hAnsiTheme="minorHAnsi"/>
          <w:lang w:val="sv-SE"/>
        </w:rPr>
        <w:t>standardiserade</w:t>
      </w:r>
      <w:r w:rsidR="009A7466" w:rsidRPr="00064C96">
        <w:rPr>
          <w:rFonts w:asciiTheme="minorHAnsi" w:hAnsiTheme="minorHAnsi"/>
          <w:lang w:val="sv-SE"/>
        </w:rPr>
        <w:t xml:space="preserve">) </w:t>
      </w:r>
      <w:r w:rsidR="00CE1B60" w:rsidRPr="00064C96">
        <w:rPr>
          <w:rFonts w:asciiTheme="minorHAnsi" w:hAnsiTheme="minorHAnsi"/>
          <w:lang w:val="sv-SE"/>
        </w:rPr>
        <w:t xml:space="preserve">antalet </w:t>
      </w:r>
      <w:r w:rsidR="009A7466" w:rsidRPr="00064C96">
        <w:rPr>
          <w:rFonts w:asciiTheme="minorHAnsi" w:hAnsiTheme="minorHAnsi"/>
          <w:lang w:val="sv-SE"/>
        </w:rPr>
        <w:t>besök per 100 000 invånare</w:t>
      </w:r>
      <w:r w:rsidR="00A456A6">
        <w:rPr>
          <w:rFonts w:asciiTheme="minorHAnsi" w:hAnsiTheme="minorHAnsi"/>
          <w:lang w:val="sv-SE"/>
        </w:rPr>
        <w:t xml:space="preserve"> i Stockholms län jämfört med övriga landet</w:t>
      </w:r>
      <w:r w:rsidR="009A7466" w:rsidRPr="00064C96">
        <w:rPr>
          <w:rFonts w:asciiTheme="minorHAnsi" w:hAnsiTheme="minorHAnsi"/>
          <w:lang w:val="sv-SE"/>
        </w:rPr>
        <w:t xml:space="preserve"> i samband med att vårdval i ögonsjukvården </w:t>
      </w:r>
      <w:r w:rsidR="009A7466" w:rsidRPr="00064C96">
        <w:rPr>
          <w:rFonts w:asciiTheme="minorHAnsi" w:hAnsiTheme="minorHAnsi"/>
          <w:lang w:val="sv-SE"/>
        </w:rPr>
        <w:lastRenderedPageBreak/>
        <w:t>införs i oktober 2011.</w:t>
      </w:r>
      <w:r w:rsidR="008219AC">
        <w:rPr>
          <w:rStyle w:val="Fotnotsreferens"/>
          <w:rFonts w:asciiTheme="minorHAnsi" w:hAnsiTheme="minorHAnsi"/>
          <w:lang w:val="sv-SE"/>
        </w:rPr>
        <w:footnoteReference w:id="6"/>
      </w:r>
      <w:r w:rsidR="00140728">
        <w:rPr>
          <w:rFonts w:asciiTheme="minorHAnsi" w:hAnsiTheme="minorHAnsi"/>
          <w:lang w:val="sv-SE"/>
        </w:rPr>
        <w:t xml:space="preserve"> R</w:t>
      </w:r>
      <w:r w:rsidR="00C34DE1">
        <w:rPr>
          <w:rFonts w:asciiTheme="minorHAnsi" w:hAnsiTheme="minorHAnsi"/>
          <w:lang w:val="sv-SE"/>
        </w:rPr>
        <w:t xml:space="preserve">esten av landet fortsätter </w:t>
      </w:r>
      <w:r w:rsidR="00140728">
        <w:rPr>
          <w:rFonts w:asciiTheme="minorHAnsi" w:hAnsiTheme="minorHAnsi"/>
          <w:lang w:val="sv-SE"/>
        </w:rPr>
        <w:t xml:space="preserve">dock </w:t>
      </w:r>
      <w:r w:rsidR="00C34DE1">
        <w:rPr>
          <w:rFonts w:asciiTheme="minorHAnsi" w:hAnsiTheme="minorHAnsi"/>
          <w:lang w:val="sv-SE"/>
        </w:rPr>
        <w:t xml:space="preserve">ligga </w:t>
      </w:r>
      <w:r w:rsidR="00140728">
        <w:rPr>
          <w:rFonts w:asciiTheme="minorHAnsi" w:hAnsiTheme="minorHAnsi"/>
          <w:lang w:val="sv-SE"/>
        </w:rPr>
        <w:t xml:space="preserve">kvar </w:t>
      </w:r>
      <w:r w:rsidR="00C34DE1">
        <w:rPr>
          <w:rFonts w:asciiTheme="minorHAnsi" w:hAnsiTheme="minorHAnsi"/>
          <w:lang w:val="sv-SE"/>
        </w:rPr>
        <w:t>på ungefär samma nivå.</w:t>
      </w:r>
      <w:r w:rsidR="00C34DE1">
        <w:rPr>
          <w:rStyle w:val="Fotnotsreferens"/>
          <w:rFonts w:asciiTheme="minorHAnsi" w:hAnsiTheme="minorHAnsi"/>
          <w:lang w:val="sv-SE"/>
        </w:rPr>
        <w:footnoteReference w:id="7"/>
      </w:r>
    </w:p>
    <w:p w14:paraId="366FC9E3" w14:textId="77777777" w:rsidR="005A08FB" w:rsidRDefault="005A08FB" w:rsidP="00B34106">
      <w:pPr>
        <w:jc w:val="both"/>
        <w:rPr>
          <w:rFonts w:asciiTheme="minorHAnsi" w:hAnsiTheme="minorHAnsi"/>
          <w:lang w:val="sv-SE"/>
        </w:rPr>
      </w:pPr>
    </w:p>
    <w:p w14:paraId="7A93E292" w14:textId="254ED304" w:rsidR="000B21D6" w:rsidRDefault="00A30EF2" w:rsidP="00A30EF2">
      <w:pPr>
        <w:jc w:val="both"/>
        <w:rPr>
          <w:rFonts w:asciiTheme="minorHAnsi" w:hAnsiTheme="minorHAnsi"/>
          <w:lang w:val="sv-SE"/>
        </w:rPr>
      </w:pPr>
      <w:r w:rsidRPr="00064C96">
        <w:rPr>
          <w:rFonts w:asciiTheme="minorHAnsi" w:hAnsiTheme="minorHAnsi"/>
          <w:lang w:val="sv-SE"/>
        </w:rPr>
        <w:t xml:space="preserve">Fram till och med 2013 fördubblas </w:t>
      </w:r>
      <w:r w:rsidR="002C480F">
        <w:rPr>
          <w:rFonts w:asciiTheme="minorHAnsi" w:hAnsiTheme="minorHAnsi"/>
          <w:lang w:val="sv-SE"/>
        </w:rPr>
        <w:t xml:space="preserve">sedan </w:t>
      </w:r>
      <w:r>
        <w:rPr>
          <w:rFonts w:asciiTheme="minorHAnsi" w:hAnsiTheme="minorHAnsi"/>
          <w:lang w:val="sv-SE"/>
        </w:rPr>
        <w:t>volymerna i Stockholm</w:t>
      </w:r>
      <w:r w:rsidRPr="00064C96">
        <w:rPr>
          <w:rFonts w:asciiTheme="minorHAnsi" w:hAnsiTheme="minorHAnsi"/>
          <w:lang w:val="sv-SE"/>
        </w:rPr>
        <w:t xml:space="preserve">, för att därefter ligga </w:t>
      </w:r>
      <w:r>
        <w:rPr>
          <w:rFonts w:asciiTheme="minorHAnsi" w:hAnsiTheme="minorHAnsi"/>
          <w:lang w:val="sv-SE"/>
        </w:rPr>
        <w:t>på ungefär samma nivå</w:t>
      </w:r>
      <w:r w:rsidRPr="00064C96">
        <w:rPr>
          <w:rFonts w:asciiTheme="minorHAnsi" w:hAnsiTheme="minorHAnsi"/>
          <w:lang w:val="sv-SE"/>
        </w:rPr>
        <w:t xml:space="preserve"> under ett antal år. </w:t>
      </w:r>
      <w:r>
        <w:rPr>
          <w:rFonts w:asciiTheme="minorHAnsi" w:hAnsiTheme="minorHAnsi"/>
          <w:lang w:val="sv-SE"/>
        </w:rPr>
        <w:t>Sedan sker en viss ökning</w:t>
      </w:r>
      <w:r w:rsidRPr="00064C96">
        <w:rPr>
          <w:rFonts w:asciiTheme="minorHAnsi" w:hAnsiTheme="minorHAnsi"/>
          <w:lang w:val="sv-SE"/>
        </w:rPr>
        <w:t xml:space="preserve"> </w:t>
      </w:r>
      <w:r>
        <w:rPr>
          <w:rFonts w:asciiTheme="minorHAnsi" w:hAnsiTheme="minorHAnsi"/>
          <w:lang w:val="sv-SE"/>
        </w:rPr>
        <w:t xml:space="preserve">(och minskning) </w:t>
      </w:r>
      <w:r w:rsidRPr="00064C96">
        <w:rPr>
          <w:rFonts w:asciiTheme="minorHAnsi" w:hAnsiTheme="minorHAnsi"/>
          <w:lang w:val="sv-SE"/>
        </w:rPr>
        <w:t>strax innan pandemin</w:t>
      </w:r>
      <w:r>
        <w:rPr>
          <w:rFonts w:asciiTheme="minorHAnsi" w:hAnsiTheme="minorHAnsi"/>
          <w:lang w:val="sv-SE"/>
        </w:rPr>
        <w:t>,</w:t>
      </w:r>
      <w:r w:rsidRPr="00064C96">
        <w:rPr>
          <w:rFonts w:asciiTheme="minorHAnsi" w:hAnsiTheme="minorHAnsi"/>
          <w:lang w:val="sv-SE"/>
        </w:rPr>
        <w:t xml:space="preserve"> </w:t>
      </w:r>
      <w:r>
        <w:rPr>
          <w:rFonts w:asciiTheme="minorHAnsi" w:hAnsiTheme="minorHAnsi"/>
          <w:lang w:val="sv-SE"/>
        </w:rPr>
        <w:t>en tydlig minskning</w:t>
      </w:r>
      <w:r w:rsidRPr="00064C96">
        <w:rPr>
          <w:rFonts w:asciiTheme="minorHAnsi" w:hAnsiTheme="minorHAnsi"/>
          <w:lang w:val="sv-SE"/>
        </w:rPr>
        <w:t xml:space="preserve"> under pandemin</w:t>
      </w:r>
      <w:r>
        <w:rPr>
          <w:rFonts w:asciiTheme="minorHAnsi" w:hAnsiTheme="minorHAnsi"/>
          <w:lang w:val="sv-SE"/>
        </w:rPr>
        <w:t xml:space="preserve"> då färre generellt sökte vård</w:t>
      </w:r>
      <w:r w:rsidR="002C480F">
        <w:rPr>
          <w:rFonts w:asciiTheme="minorHAnsi" w:hAnsiTheme="minorHAnsi"/>
          <w:lang w:val="sv-SE"/>
        </w:rPr>
        <w:t xml:space="preserve"> och sedan en ökning igen efteråt</w:t>
      </w:r>
      <w:r w:rsidRPr="00064C96">
        <w:rPr>
          <w:rFonts w:asciiTheme="minorHAnsi" w:hAnsiTheme="minorHAnsi"/>
          <w:lang w:val="sv-SE"/>
        </w:rPr>
        <w:t xml:space="preserve">, rimligtvis </w:t>
      </w:r>
      <w:r w:rsidR="002C480F">
        <w:rPr>
          <w:rFonts w:asciiTheme="minorHAnsi" w:hAnsiTheme="minorHAnsi"/>
          <w:lang w:val="sv-SE"/>
        </w:rPr>
        <w:t>för att</w:t>
      </w:r>
      <w:r>
        <w:rPr>
          <w:rFonts w:asciiTheme="minorHAnsi" w:hAnsiTheme="minorHAnsi"/>
          <w:lang w:val="sv-SE"/>
        </w:rPr>
        <w:t xml:space="preserve"> ta igen den ”vårdskuld” som då hade uppstått</w:t>
      </w:r>
      <w:r w:rsidRPr="00064C96">
        <w:rPr>
          <w:rFonts w:asciiTheme="minorHAnsi" w:hAnsiTheme="minorHAnsi"/>
          <w:lang w:val="sv-SE"/>
        </w:rPr>
        <w:t>.</w:t>
      </w:r>
      <w:r w:rsidRPr="00064C96">
        <w:rPr>
          <w:rStyle w:val="Fotnotsreferens"/>
          <w:rFonts w:asciiTheme="minorHAnsi" w:hAnsiTheme="minorHAnsi"/>
          <w:lang w:val="sv-SE"/>
        </w:rPr>
        <w:footnoteReference w:id="8"/>
      </w:r>
      <w:r>
        <w:rPr>
          <w:rFonts w:asciiTheme="minorHAnsi" w:hAnsiTheme="minorHAnsi"/>
          <w:lang w:val="sv-SE"/>
        </w:rPr>
        <w:t>Men i princip hela ökningen i åldersstandardiserade besök per 100 000 invånare sker mellan 2011 och 2013, alltså de första två åren efter vårdvalet</w:t>
      </w:r>
      <w:r w:rsidR="008E6DD0">
        <w:rPr>
          <w:rFonts w:asciiTheme="minorHAnsi" w:hAnsiTheme="minorHAnsi"/>
          <w:lang w:val="sv-SE"/>
        </w:rPr>
        <w:t>s</w:t>
      </w:r>
      <w:r>
        <w:rPr>
          <w:rFonts w:asciiTheme="minorHAnsi" w:hAnsiTheme="minorHAnsi"/>
          <w:lang w:val="sv-SE"/>
        </w:rPr>
        <w:t xml:space="preserve"> </w:t>
      </w:r>
      <w:r w:rsidR="00074B2C">
        <w:rPr>
          <w:rFonts w:asciiTheme="minorHAnsi" w:hAnsiTheme="minorHAnsi"/>
          <w:lang w:val="sv-SE"/>
        </w:rPr>
        <w:t>inför</w:t>
      </w:r>
      <w:r w:rsidR="008E6DD0">
        <w:rPr>
          <w:rFonts w:asciiTheme="minorHAnsi" w:hAnsiTheme="minorHAnsi"/>
          <w:lang w:val="sv-SE"/>
        </w:rPr>
        <w:t>ande</w:t>
      </w:r>
      <w:r>
        <w:rPr>
          <w:rFonts w:asciiTheme="minorHAnsi" w:hAnsiTheme="minorHAnsi"/>
          <w:lang w:val="sv-SE"/>
        </w:rPr>
        <w:t xml:space="preserve">. </w:t>
      </w:r>
    </w:p>
    <w:p w14:paraId="54C2DB03" w14:textId="77777777" w:rsidR="0094430D" w:rsidRDefault="0094430D" w:rsidP="00B34106">
      <w:pPr>
        <w:jc w:val="both"/>
        <w:rPr>
          <w:rFonts w:asciiTheme="minorHAnsi" w:hAnsiTheme="minorHAnsi"/>
          <w:lang w:val="sv-SE"/>
        </w:rPr>
      </w:pPr>
    </w:p>
    <w:p w14:paraId="373C081D" w14:textId="77777777" w:rsidR="0094430D" w:rsidRDefault="0094430D" w:rsidP="00B34106">
      <w:pPr>
        <w:jc w:val="both"/>
        <w:rPr>
          <w:rFonts w:asciiTheme="minorHAnsi" w:hAnsiTheme="minorHAnsi"/>
          <w:lang w:val="sv-SE"/>
        </w:rPr>
      </w:pPr>
    </w:p>
    <w:p w14:paraId="2F0BD882" w14:textId="5C0EFE28" w:rsidR="002943FB" w:rsidRDefault="00AD5C0B" w:rsidP="00B34106">
      <w:pPr>
        <w:jc w:val="both"/>
        <w:rPr>
          <w:rFonts w:asciiTheme="minorHAnsi" w:hAnsiTheme="minorHAnsi"/>
          <w:lang w:val="sv-SE"/>
        </w:rPr>
      </w:pPr>
      <w:r>
        <w:rPr>
          <w:rFonts w:asciiTheme="minorHAnsi" w:hAnsiTheme="minorHAnsi"/>
          <w:noProof/>
          <w:lang w:val="sv-SE"/>
        </w:rPr>
        <w:drawing>
          <wp:inline distT="0" distB="0" distL="0" distR="0" wp14:anchorId="4C21F085" wp14:editId="260D6E76">
            <wp:extent cx="5760000" cy="3960000"/>
            <wp:effectExtent l="0" t="0" r="12700" b="2540"/>
            <wp:docPr id="133415383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E5F466" w14:textId="77777777" w:rsidR="00EA2B45" w:rsidRDefault="00EA2B45" w:rsidP="00B34106">
      <w:pPr>
        <w:jc w:val="both"/>
        <w:rPr>
          <w:rFonts w:asciiTheme="minorHAnsi" w:hAnsiTheme="minorHAnsi"/>
          <w:lang w:val="sv-SE"/>
        </w:rPr>
      </w:pPr>
    </w:p>
    <w:p w14:paraId="24D8AF45" w14:textId="77777777" w:rsidR="00911980" w:rsidRDefault="00911980" w:rsidP="00911980">
      <w:pPr>
        <w:jc w:val="both"/>
        <w:rPr>
          <w:rFonts w:asciiTheme="minorHAnsi" w:hAnsiTheme="minorHAnsi"/>
          <w:lang w:val="sv-SE"/>
        </w:rPr>
      </w:pPr>
      <w:r>
        <w:rPr>
          <w:rFonts w:asciiTheme="minorHAnsi" w:hAnsiTheme="minorHAnsi"/>
          <w:lang w:val="sv-SE"/>
        </w:rPr>
        <w:t xml:space="preserve">Det är dock inte klart huruvida detta enbart beror på vårdvalet. Det tycks nämligen vara så att trenden i Stockholm börjar öka efter 2005, strax efter att vårdgarantin infördes: mellan 2005 och 2011 nästan fördubblas de befolkningsjusterade volymerna i Stockholm, medan de endast ökar med 32 procent i övriga landet i snitt. Volymerna i Stockholm ökar alltså relativt sett mycket mer än i övriga landet under decenniet innan </w:t>
      </w:r>
      <w:r>
        <w:rPr>
          <w:rFonts w:asciiTheme="minorHAnsi" w:hAnsiTheme="minorHAnsi"/>
          <w:lang w:val="sv-SE"/>
        </w:rPr>
        <w:lastRenderedPageBreak/>
        <w:t>vårdvalet infördes, sannolikt delvis på grund av effekterna av (den striktare) vårdgarantin.</w:t>
      </w:r>
    </w:p>
    <w:p w14:paraId="0768E48F" w14:textId="77777777" w:rsidR="00EA2B45" w:rsidRDefault="00EA2B45" w:rsidP="00EA2B45">
      <w:pPr>
        <w:jc w:val="both"/>
        <w:rPr>
          <w:rFonts w:asciiTheme="minorHAnsi" w:hAnsiTheme="minorHAnsi"/>
          <w:lang w:val="sv-SE"/>
        </w:rPr>
      </w:pPr>
    </w:p>
    <w:p w14:paraId="7FE651F5" w14:textId="7ECE3CA5" w:rsidR="005F27A0" w:rsidRDefault="00EA2B45" w:rsidP="00EA2B45">
      <w:pPr>
        <w:jc w:val="both"/>
        <w:rPr>
          <w:rFonts w:asciiTheme="minorHAnsi" w:hAnsiTheme="minorHAnsi"/>
          <w:lang w:val="sv-SE"/>
        </w:rPr>
      </w:pPr>
      <w:r>
        <w:rPr>
          <w:rFonts w:asciiTheme="minorHAnsi" w:hAnsiTheme="minorHAnsi"/>
          <w:lang w:val="sv-SE"/>
        </w:rPr>
        <w:t xml:space="preserve">Om vårdgarantin har haft olika effekter i Stockholm och övriga landet – oavsett vårdval </w:t>
      </w:r>
      <w:r w:rsidR="005F27A0">
        <w:rPr>
          <w:rFonts w:asciiTheme="minorHAnsi" w:hAnsiTheme="minorHAnsi"/>
          <w:lang w:val="sv-SE"/>
        </w:rPr>
        <w:t>– bör</w:t>
      </w:r>
      <w:r>
        <w:rPr>
          <w:rFonts w:asciiTheme="minorHAnsi" w:hAnsiTheme="minorHAnsi"/>
          <w:lang w:val="sv-SE"/>
        </w:rPr>
        <w:t xml:space="preserve"> vi också observera stora ökningar i volymerna under dessa och närliggande år inom andra vårdområden </w:t>
      </w:r>
      <w:r w:rsidR="008E6DD0">
        <w:rPr>
          <w:rFonts w:asciiTheme="minorHAnsi" w:hAnsiTheme="minorHAnsi"/>
          <w:lang w:val="sv-SE"/>
        </w:rPr>
        <w:t>som inte omfattas av</w:t>
      </w:r>
      <w:r>
        <w:rPr>
          <w:rFonts w:asciiTheme="minorHAnsi" w:hAnsiTheme="minorHAnsi"/>
          <w:lang w:val="sv-SE"/>
        </w:rPr>
        <w:t xml:space="preserve"> vårdval</w:t>
      </w:r>
      <w:r w:rsidR="00EE4EF0">
        <w:rPr>
          <w:rFonts w:asciiTheme="minorHAnsi" w:hAnsiTheme="minorHAnsi"/>
          <w:lang w:val="sv-SE"/>
        </w:rPr>
        <w:t xml:space="preserve"> (i Stockholm)</w:t>
      </w:r>
      <w:r>
        <w:rPr>
          <w:rFonts w:asciiTheme="minorHAnsi" w:hAnsiTheme="minorHAnsi"/>
          <w:lang w:val="sv-SE"/>
        </w:rPr>
        <w:t>.</w:t>
      </w:r>
    </w:p>
    <w:p w14:paraId="409AD1DB" w14:textId="77777777" w:rsidR="005F27A0" w:rsidRDefault="005F27A0" w:rsidP="00EA2B45">
      <w:pPr>
        <w:jc w:val="both"/>
        <w:rPr>
          <w:rFonts w:asciiTheme="minorHAnsi" w:hAnsiTheme="minorHAnsi"/>
          <w:lang w:val="sv-SE"/>
        </w:rPr>
      </w:pPr>
    </w:p>
    <w:p w14:paraId="3577C3AB" w14:textId="56AE4B82" w:rsidR="005F27A0" w:rsidRDefault="00EA2B45" w:rsidP="00EA2B45">
      <w:pPr>
        <w:jc w:val="both"/>
        <w:rPr>
          <w:rFonts w:asciiTheme="minorHAnsi" w:hAnsiTheme="minorHAnsi"/>
          <w:lang w:val="sv-SE"/>
        </w:rPr>
      </w:pPr>
      <w:r>
        <w:rPr>
          <w:rFonts w:asciiTheme="minorHAnsi" w:hAnsiTheme="minorHAnsi"/>
          <w:lang w:val="sv-SE"/>
        </w:rPr>
        <w:t xml:space="preserve">Och som figur 2 och 3 visar ser vi mycket riktigt </w:t>
      </w:r>
      <w:r w:rsidR="001876CC">
        <w:rPr>
          <w:rFonts w:asciiTheme="minorHAnsi" w:hAnsiTheme="minorHAnsi"/>
          <w:lang w:val="sv-SE"/>
        </w:rPr>
        <w:t>en snabb ökning</w:t>
      </w:r>
      <w:r>
        <w:rPr>
          <w:rFonts w:asciiTheme="minorHAnsi" w:hAnsiTheme="minorHAnsi"/>
          <w:lang w:val="sv-SE"/>
        </w:rPr>
        <w:t xml:space="preserve"> i vårdvolymerna</w:t>
      </w:r>
      <w:r w:rsidR="00E81ADC">
        <w:rPr>
          <w:rFonts w:asciiTheme="minorHAnsi" w:hAnsiTheme="minorHAnsi"/>
          <w:lang w:val="sv-SE"/>
        </w:rPr>
        <w:t xml:space="preserve"> i Stockholm</w:t>
      </w:r>
      <w:r>
        <w:rPr>
          <w:rFonts w:asciiTheme="minorHAnsi" w:hAnsiTheme="minorHAnsi"/>
          <w:lang w:val="sv-SE"/>
        </w:rPr>
        <w:t xml:space="preserve"> vad gäller (</w:t>
      </w:r>
      <w:r w:rsidR="00481062">
        <w:rPr>
          <w:rFonts w:asciiTheme="minorHAnsi" w:hAnsiTheme="minorHAnsi"/>
          <w:lang w:val="sv-SE"/>
        </w:rPr>
        <w:t>i</w:t>
      </w:r>
      <w:r>
        <w:rPr>
          <w:rFonts w:asciiTheme="minorHAnsi" w:hAnsiTheme="minorHAnsi"/>
          <w:lang w:val="sv-SE"/>
        </w:rPr>
        <w:t>) besök rörande alkoholrelaterade diagnoser och (</w:t>
      </w:r>
      <w:r w:rsidR="00481062">
        <w:rPr>
          <w:rFonts w:asciiTheme="minorHAnsi" w:hAnsiTheme="minorHAnsi"/>
          <w:lang w:val="sv-SE"/>
        </w:rPr>
        <w:t>ii</w:t>
      </w:r>
      <w:r>
        <w:rPr>
          <w:rFonts w:asciiTheme="minorHAnsi" w:hAnsiTheme="minorHAnsi"/>
          <w:lang w:val="sv-SE"/>
        </w:rPr>
        <w:t>) psykiska sjukdomar och syndrom samt beteendestörningar inom den specialiserade öppenvården från och med 2006, alltså strax efter att den nationella vårdgarantin införs</w:t>
      </w:r>
      <w:r w:rsidR="004B5B09">
        <w:rPr>
          <w:rFonts w:asciiTheme="minorHAnsi" w:hAnsiTheme="minorHAnsi"/>
          <w:lang w:val="sv-SE"/>
        </w:rPr>
        <w:t xml:space="preserve"> i november 2005</w:t>
      </w:r>
      <w:r>
        <w:rPr>
          <w:rFonts w:asciiTheme="minorHAnsi" w:hAnsiTheme="minorHAnsi"/>
          <w:lang w:val="sv-SE"/>
        </w:rPr>
        <w:t>. Likaså ser vi ytterligare ett hopp från och med 2010, då vårdgarantin lagstadgas</w:t>
      </w:r>
      <w:r w:rsidR="004B5B09">
        <w:rPr>
          <w:rFonts w:asciiTheme="minorHAnsi" w:hAnsiTheme="minorHAnsi"/>
          <w:lang w:val="sv-SE"/>
        </w:rPr>
        <w:t xml:space="preserve"> (i juli det året)</w:t>
      </w:r>
      <w:r>
        <w:rPr>
          <w:rFonts w:asciiTheme="minorHAnsi" w:hAnsiTheme="minorHAnsi"/>
          <w:lang w:val="sv-SE"/>
        </w:rPr>
        <w:t xml:space="preserve">. </w:t>
      </w:r>
    </w:p>
    <w:p w14:paraId="1179DB08" w14:textId="77777777" w:rsidR="005F27A0" w:rsidRDefault="005F27A0" w:rsidP="00EA2B45">
      <w:pPr>
        <w:jc w:val="both"/>
        <w:rPr>
          <w:rFonts w:asciiTheme="minorHAnsi" w:hAnsiTheme="minorHAnsi"/>
          <w:lang w:val="sv-SE"/>
        </w:rPr>
      </w:pPr>
    </w:p>
    <w:p w14:paraId="590E11A8" w14:textId="02D1D2B2" w:rsidR="00EA2B45" w:rsidRDefault="00EA2B45" w:rsidP="00EA2B45">
      <w:pPr>
        <w:jc w:val="both"/>
        <w:rPr>
          <w:rFonts w:asciiTheme="minorHAnsi" w:hAnsiTheme="minorHAnsi"/>
          <w:lang w:val="sv-SE"/>
        </w:rPr>
      </w:pPr>
      <w:r>
        <w:rPr>
          <w:rFonts w:asciiTheme="minorHAnsi" w:hAnsiTheme="minorHAnsi"/>
          <w:lang w:val="sv-SE"/>
        </w:rPr>
        <w:t xml:space="preserve">Innan 2006 är trenderna i Stockholm och resten av länen </w:t>
      </w:r>
      <w:r w:rsidR="00615027">
        <w:rPr>
          <w:rFonts w:asciiTheme="minorHAnsi" w:hAnsiTheme="minorHAnsi"/>
          <w:lang w:val="sv-SE"/>
        </w:rPr>
        <w:t>relativt</w:t>
      </w:r>
      <w:r w:rsidR="00E81ADC">
        <w:rPr>
          <w:rFonts w:asciiTheme="minorHAnsi" w:hAnsiTheme="minorHAnsi"/>
          <w:lang w:val="sv-SE"/>
        </w:rPr>
        <w:t xml:space="preserve"> lika</w:t>
      </w:r>
      <w:r>
        <w:rPr>
          <w:rFonts w:asciiTheme="minorHAnsi" w:hAnsiTheme="minorHAnsi"/>
          <w:lang w:val="sv-SE"/>
        </w:rPr>
        <w:t xml:space="preserve">, men medan trenden i Stockholm går brant uppåt efter 2005 respektive 2010 </w:t>
      </w:r>
      <w:r w:rsidR="00E81ADC">
        <w:rPr>
          <w:rFonts w:asciiTheme="minorHAnsi" w:hAnsiTheme="minorHAnsi"/>
          <w:lang w:val="sv-SE"/>
        </w:rPr>
        <w:t>ser vi enbart en gradvis ökning i övriga delar av landet</w:t>
      </w:r>
      <w:r>
        <w:rPr>
          <w:rFonts w:asciiTheme="minorHAnsi" w:hAnsiTheme="minorHAnsi"/>
          <w:lang w:val="sv-SE"/>
        </w:rPr>
        <w:t xml:space="preserve">. </w:t>
      </w:r>
    </w:p>
    <w:p w14:paraId="1BD3B42B" w14:textId="77777777" w:rsidR="00EA2B45" w:rsidRDefault="00EA2B45" w:rsidP="00EA2B45">
      <w:pPr>
        <w:jc w:val="both"/>
        <w:rPr>
          <w:rFonts w:asciiTheme="minorHAnsi" w:hAnsiTheme="minorHAnsi"/>
          <w:lang w:val="sv-SE"/>
        </w:rPr>
      </w:pPr>
    </w:p>
    <w:p w14:paraId="717D91E3" w14:textId="7B3079A1" w:rsidR="00F04C2D" w:rsidRDefault="00EA2B45" w:rsidP="00B34106">
      <w:pPr>
        <w:jc w:val="both"/>
        <w:rPr>
          <w:rFonts w:asciiTheme="minorHAnsi" w:hAnsiTheme="minorHAnsi"/>
          <w:lang w:val="sv-SE"/>
        </w:rPr>
      </w:pPr>
      <w:r>
        <w:rPr>
          <w:rFonts w:asciiTheme="minorHAnsi" w:hAnsiTheme="minorHAnsi"/>
          <w:lang w:val="sv-SE"/>
        </w:rPr>
        <w:t xml:space="preserve">Detta tyder på att vårdgarantin har haft olika generella effekter i Stockholm </w:t>
      </w:r>
      <w:r w:rsidR="003D3679">
        <w:rPr>
          <w:rFonts w:asciiTheme="minorHAnsi" w:hAnsiTheme="minorHAnsi"/>
          <w:lang w:val="sv-SE"/>
        </w:rPr>
        <w:t>jämfört</w:t>
      </w:r>
      <w:r>
        <w:rPr>
          <w:rFonts w:asciiTheme="minorHAnsi" w:hAnsiTheme="minorHAnsi"/>
          <w:lang w:val="sv-SE"/>
        </w:rPr>
        <w:t xml:space="preserve"> i resten av landet, vilket i sin tur </w:t>
      </w:r>
      <w:r w:rsidR="006653C8">
        <w:rPr>
          <w:rFonts w:asciiTheme="minorHAnsi" w:hAnsiTheme="minorHAnsi"/>
          <w:lang w:val="sv-SE"/>
        </w:rPr>
        <w:t xml:space="preserve">också </w:t>
      </w:r>
      <w:r>
        <w:rPr>
          <w:rFonts w:asciiTheme="minorHAnsi" w:hAnsiTheme="minorHAnsi"/>
          <w:lang w:val="sv-SE"/>
        </w:rPr>
        <w:t>kan ha bidragit till att vårdvolymerna inom ögonsjukvården ökar markant i Stockholm över tid. Detta speciellt då det är rimligt att effekterna av (den striktare) vårdgarantin och vårdvalet förstärker varandra.</w:t>
      </w:r>
    </w:p>
    <w:p w14:paraId="6588E9AF" w14:textId="77777777" w:rsidR="00EA2B45" w:rsidRDefault="00EA2B45" w:rsidP="00B34106">
      <w:pPr>
        <w:jc w:val="both"/>
        <w:rPr>
          <w:rFonts w:asciiTheme="minorHAnsi" w:hAnsiTheme="minorHAnsi"/>
          <w:lang w:val="sv-SE"/>
        </w:rPr>
      </w:pPr>
    </w:p>
    <w:p w14:paraId="368C02AC" w14:textId="77777777" w:rsidR="00911980" w:rsidRDefault="00911980" w:rsidP="00B34106">
      <w:pPr>
        <w:jc w:val="both"/>
        <w:rPr>
          <w:rFonts w:asciiTheme="minorHAnsi" w:hAnsiTheme="minorHAnsi"/>
          <w:lang w:val="sv-SE"/>
        </w:rPr>
      </w:pPr>
    </w:p>
    <w:p w14:paraId="6D36778B" w14:textId="41DC4685" w:rsidR="00EA2B45" w:rsidRDefault="00EA2B45" w:rsidP="00B34106">
      <w:pPr>
        <w:jc w:val="both"/>
        <w:rPr>
          <w:rFonts w:asciiTheme="minorHAnsi" w:hAnsiTheme="minorHAnsi"/>
          <w:lang w:val="sv-SE"/>
        </w:rPr>
      </w:pPr>
      <w:r>
        <w:rPr>
          <w:rFonts w:asciiTheme="minorHAnsi" w:hAnsiTheme="minorHAnsi"/>
          <w:noProof/>
          <w:lang w:val="sv-SE"/>
        </w:rPr>
        <w:drawing>
          <wp:inline distT="0" distB="0" distL="0" distR="0" wp14:anchorId="3A8A2586" wp14:editId="4211141D">
            <wp:extent cx="5727700" cy="3938031"/>
            <wp:effectExtent l="0" t="0" r="6350" b="5715"/>
            <wp:docPr id="436021111" name="Chart 436021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183CBE" w14:textId="77777777" w:rsidR="00EA2B45" w:rsidRDefault="00EA2B45" w:rsidP="00B34106">
      <w:pPr>
        <w:jc w:val="both"/>
        <w:rPr>
          <w:rFonts w:asciiTheme="minorHAnsi" w:hAnsiTheme="minorHAnsi"/>
          <w:lang w:val="sv-SE"/>
        </w:rPr>
      </w:pPr>
    </w:p>
    <w:p w14:paraId="15752489" w14:textId="77777777" w:rsidR="005F27A0" w:rsidRDefault="005F27A0" w:rsidP="00B34106">
      <w:pPr>
        <w:jc w:val="both"/>
        <w:rPr>
          <w:rFonts w:asciiTheme="minorHAnsi" w:hAnsiTheme="minorHAnsi"/>
          <w:lang w:val="sv-SE"/>
        </w:rPr>
      </w:pPr>
    </w:p>
    <w:p w14:paraId="5D8CD4FA" w14:textId="77777777" w:rsidR="00EA2B45" w:rsidRDefault="00EA2B45" w:rsidP="00B34106">
      <w:pPr>
        <w:jc w:val="both"/>
        <w:rPr>
          <w:rFonts w:asciiTheme="minorHAnsi" w:hAnsiTheme="minorHAnsi"/>
          <w:lang w:val="sv-SE"/>
        </w:rPr>
      </w:pPr>
    </w:p>
    <w:p w14:paraId="0FD061A0" w14:textId="21541F69" w:rsidR="00EA2B45" w:rsidRDefault="007672BA" w:rsidP="00B34106">
      <w:pPr>
        <w:jc w:val="both"/>
        <w:rPr>
          <w:rFonts w:asciiTheme="minorHAnsi" w:hAnsiTheme="minorHAnsi"/>
          <w:lang w:val="sv-SE"/>
        </w:rPr>
      </w:pPr>
      <w:r>
        <w:rPr>
          <w:rFonts w:asciiTheme="minorHAnsi" w:hAnsiTheme="minorHAnsi"/>
          <w:noProof/>
          <w:lang w:val="sv-SE"/>
        </w:rPr>
        <w:lastRenderedPageBreak/>
        <w:drawing>
          <wp:inline distT="0" distB="0" distL="0" distR="0" wp14:anchorId="3C6E1DDA" wp14:editId="42D45B6D">
            <wp:extent cx="5727700" cy="3937635"/>
            <wp:effectExtent l="0" t="0" r="6350" b="5715"/>
            <wp:docPr id="1200928499" name="Chart 12009284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6522833" w14:textId="77777777" w:rsidR="00EA2B45" w:rsidRDefault="00EA2B45" w:rsidP="00B34106">
      <w:pPr>
        <w:jc w:val="both"/>
        <w:rPr>
          <w:rFonts w:asciiTheme="minorHAnsi" w:hAnsiTheme="minorHAnsi"/>
          <w:lang w:val="sv-SE"/>
        </w:rPr>
      </w:pPr>
    </w:p>
    <w:p w14:paraId="52BFC4A9" w14:textId="76FD7124" w:rsidR="00B60962" w:rsidRDefault="00EC5156" w:rsidP="00B34106">
      <w:pPr>
        <w:jc w:val="both"/>
        <w:rPr>
          <w:rFonts w:asciiTheme="minorHAnsi" w:hAnsiTheme="minorHAnsi"/>
          <w:lang w:val="sv-SE"/>
        </w:rPr>
      </w:pPr>
      <w:r>
        <w:rPr>
          <w:rFonts w:asciiTheme="minorHAnsi" w:hAnsiTheme="minorHAnsi"/>
          <w:lang w:val="sv-SE"/>
        </w:rPr>
        <w:t>Ett annat sätt att studera i vilken utsträckning det är vårdval</w:t>
      </w:r>
      <w:r w:rsidR="00811377">
        <w:rPr>
          <w:rFonts w:asciiTheme="minorHAnsi" w:hAnsiTheme="minorHAnsi"/>
          <w:lang w:val="sv-SE"/>
        </w:rPr>
        <w:t xml:space="preserve"> </w:t>
      </w:r>
      <w:r w:rsidR="000B21D6" w:rsidRPr="000B21D6">
        <w:rPr>
          <w:rFonts w:asciiTheme="minorHAnsi" w:hAnsiTheme="minorHAnsi"/>
          <w:i/>
          <w:iCs/>
          <w:lang w:val="sv-SE"/>
        </w:rPr>
        <w:t xml:space="preserve">i sig </w:t>
      </w:r>
      <w:r>
        <w:rPr>
          <w:rFonts w:asciiTheme="minorHAnsi" w:hAnsiTheme="minorHAnsi"/>
          <w:lang w:val="sv-SE"/>
        </w:rPr>
        <w:t xml:space="preserve">som driver de ökande volymerna är att jämföra förändringarna i Stockholm med </w:t>
      </w:r>
      <w:r w:rsidR="00811377">
        <w:rPr>
          <w:rFonts w:asciiTheme="minorHAnsi" w:hAnsiTheme="minorHAnsi"/>
          <w:lang w:val="sv-SE"/>
        </w:rPr>
        <w:t>förändringar</w:t>
      </w:r>
      <w:r w:rsidR="000B21D6">
        <w:rPr>
          <w:rFonts w:asciiTheme="minorHAnsi" w:hAnsiTheme="minorHAnsi"/>
          <w:lang w:val="sv-SE"/>
        </w:rPr>
        <w:t>na i</w:t>
      </w:r>
      <w:r>
        <w:rPr>
          <w:rFonts w:asciiTheme="minorHAnsi" w:hAnsiTheme="minorHAnsi"/>
          <w:lang w:val="sv-SE"/>
        </w:rPr>
        <w:t xml:space="preserve"> de län som också </w:t>
      </w:r>
      <w:r w:rsidR="00704679">
        <w:rPr>
          <w:rFonts w:asciiTheme="minorHAnsi" w:hAnsiTheme="minorHAnsi"/>
          <w:lang w:val="sv-SE"/>
        </w:rPr>
        <w:t>har infört</w:t>
      </w:r>
      <w:r>
        <w:rPr>
          <w:rFonts w:asciiTheme="minorHAnsi" w:hAnsiTheme="minorHAnsi"/>
          <w:lang w:val="sv-SE"/>
        </w:rPr>
        <w:t xml:space="preserve"> vårdval inom den öppna ögonsjukvården</w:t>
      </w:r>
      <w:r w:rsidR="000F4F8D">
        <w:rPr>
          <w:rFonts w:asciiTheme="minorHAnsi" w:hAnsiTheme="minorHAnsi"/>
          <w:lang w:val="sv-SE"/>
        </w:rPr>
        <w:t>.</w:t>
      </w:r>
      <w:r w:rsidR="00704679">
        <w:rPr>
          <w:rFonts w:asciiTheme="minorHAnsi" w:hAnsiTheme="minorHAnsi"/>
          <w:lang w:val="sv-SE"/>
        </w:rPr>
        <w:t xml:space="preserve"> </w:t>
      </w:r>
      <w:r w:rsidR="000B21D6">
        <w:rPr>
          <w:rFonts w:asciiTheme="minorHAnsi" w:hAnsiTheme="minorHAnsi"/>
          <w:lang w:val="sv-SE"/>
        </w:rPr>
        <w:t xml:space="preserve">Som visas i figur </w:t>
      </w:r>
      <w:r w:rsidR="00A868C4">
        <w:rPr>
          <w:rFonts w:asciiTheme="minorHAnsi" w:hAnsiTheme="minorHAnsi"/>
          <w:lang w:val="sv-SE"/>
        </w:rPr>
        <w:t>4</w:t>
      </w:r>
      <w:r w:rsidR="000B21D6">
        <w:rPr>
          <w:rFonts w:asciiTheme="minorHAnsi" w:hAnsiTheme="minorHAnsi"/>
          <w:lang w:val="sv-SE"/>
        </w:rPr>
        <w:t xml:space="preserve"> </w:t>
      </w:r>
      <w:r w:rsidR="00704679">
        <w:rPr>
          <w:rFonts w:asciiTheme="minorHAnsi" w:hAnsiTheme="minorHAnsi"/>
          <w:lang w:val="sv-SE"/>
        </w:rPr>
        <w:t>ser</w:t>
      </w:r>
      <w:r w:rsidR="000B21D6">
        <w:rPr>
          <w:rFonts w:asciiTheme="minorHAnsi" w:hAnsiTheme="minorHAnsi"/>
          <w:lang w:val="sv-SE"/>
        </w:rPr>
        <w:t xml:space="preserve"> vi</w:t>
      </w:r>
      <w:r w:rsidR="00704679">
        <w:rPr>
          <w:rFonts w:asciiTheme="minorHAnsi" w:hAnsiTheme="minorHAnsi"/>
          <w:lang w:val="sv-SE"/>
        </w:rPr>
        <w:t xml:space="preserve"> att trendbrottet i Stockholm efter 2011 är radikalt annorlunda </w:t>
      </w:r>
      <w:r w:rsidR="006A3C1E">
        <w:rPr>
          <w:rFonts w:asciiTheme="minorHAnsi" w:hAnsiTheme="minorHAnsi"/>
          <w:lang w:val="sv-SE"/>
        </w:rPr>
        <w:t>än förändringen</w:t>
      </w:r>
      <w:r w:rsidR="00704679">
        <w:rPr>
          <w:rFonts w:asciiTheme="minorHAnsi" w:hAnsiTheme="minorHAnsi"/>
          <w:lang w:val="sv-SE"/>
        </w:rPr>
        <w:t xml:space="preserve"> i de andra regionerna efter att de inför vårdval</w:t>
      </w:r>
      <w:r w:rsidR="001A5A4B">
        <w:rPr>
          <w:rFonts w:asciiTheme="minorHAnsi" w:hAnsiTheme="minorHAnsi"/>
          <w:lang w:val="sv-SE"/>
        </w:rPr>
        <w:t xml:space="preserve">; </w:t>
      </w:r>
      <w:r w:rsidR="006A3C1E">
        <w:rPr>
          <w:rFonts w:asciiTheme="minorHAnsi" w:hAnsiTheme="minorHAnsi"/>
          <w:lang w:val="sv-SE"/>
        </w:rPr>
        <w:t>man</w:t>
      </w:r>
      <w:r w:rsidR="001A5A4B">
        <w:rPr>
          <w:rFonts w:asciiTheme="minorHAnsi" w:hAnsiTheme="minorHAnsi"/>
          <w:lang w:val="sv-SE"/>
        </w:rPr>
        <w:t xml:space="preserve"> kan </w:t>
      </w:r>
      <w:r w:rsidR="006A3C1E">
        <w:rPr>
          <w:rFonts w:asciiTheme="minorHAnsi" w:hAnsiTheme="minorHAnsi"/>
          <w:lang w:val="sv-SE"/>
        </w:rPr>
        <w:t>inte</w:t>
      </w:r>
      <w:r w:rsidR="001A5A4B">
        <w:rPr>
          <w:rFonts w:asciiTheme="minorHAnsi" w:hAnsiTheme="minorHAnsi"/>
          <w:lang w:val="sv-SE"/>
        </w:rPr>
        <w:t xml:space="preserve"> se </w:t>
      </w:r>
      <w:r w:rsidR="00DF74E1">
        <w:rPr>
          <w:rFonts w:asciiTheme="minorHAnsi" w:hAnsiTheme="minorHAnsi"/>
          <w:lang w:val="sv-SE"/>
        </w:rPr>
        <w:t>något</w:t>
      </w:r>
      <w:r w:rsidR="000B21D6">
        <w:rPr>
          <w:rFonts w:asciiTheme="minorHAnsi" w:hAnsiTheme="minorHAnsi"/>
          <w:lang w:val="sv-SE"/>
        </w:rPr>
        <w:t xml:space="preserve"> </w:t>
      </w:r>
      <w:r w:rsidR="001A5A4B">
        <w:rPr>
          <w:rFonts w:asciiTheme="minorHAnsi" w:hAnsiTheme="minorHAnsi"/>
          <w:lang w:val="sv-SE"/>
        </w:rPr>
        <w:t>tydligt trendbrott som i Stockholm efter 2011</w:t>
      </w:r>
      <w:r w:rsidR="006A3C1E">
        <w:rPr>
          <w:rFonts w:asciiTheme="minorHAnsi" w:hAnsiTheme="minorHAnsi"/>
          <w:lang w:val="sv-SE"/>
        </w:rPr>
        <w:t xml:space="preserve"> i andra regioner </w:t>
      </w:r>
      <w:r w:rsidR="006A3C31">
        <w:rPr>
          <w:rFonts w:asciiTheme="minorHAnsi" w:hAnsiTheme="minorHAnsi"/>
          <w:lang w:val="sv-SE"/>
        </w:rPr>
        <w:t xml:space="preserve">i kölvattnet av </w:t>
      </w:r>
      <w:r w:rsidR="0078636C">
        <w:rPr>
          <w:rFonts w:asciiTheme="minorHAnsi" w:hAnsiTheme="minorHAnsi"/>
          <w:lang w:val="sv-SE"/>
        </w:rPr>
        <w:t xml:space="preserve">att de inför </w:t>
      </w:r>
      <w:r w:rsidR="006A3C31">
        <w:rPr>
          <w:rFonts w:asciiTheme="minorHAnsi" w:hAnsiTheme="minorHAnsi"/>
          <w:lang w:val="sv-SE"/>
        </w:rPr>
        <w:t>vårdval</w:t>
      </w:r>
      <w:r w:rsidR="001A5A4B">
        <w:rPr>
          <w:rFonts w:asciiTheme="minorHAnsi" w:hAnsiTheme="minorHAnsi"/>
          <w:lang w:val="sv-SE"/>
        </w:rPr>
        <w:t>.</w:t>
      </w:r>
      <w:r w:rsidR="00952468">
        <w:rPr>
          <w:rStyle w:val="Fotnotsreferens"/>
          <w:rFonts w:asciiTheme="minorHAnsi" w:hAnsiTheme="minorHAnsi"/>
          <w:lang w:val="sv-SE"/>
        </w:rPr>
        <w:footnoteReference w:id="9"/>
      </w:r>
    </w:p>
    <w:p w14:paraId="1F442EC6" w14:textId="77777777" w:rsidR="009F276E" w:rsidRDefault="009F276E" w:rsidP="00B34106">
      <w:pPr>
        <w:jc w:val="both"/>
        <w:rPr>
          <w:rFonts w:asciiTheme="minorHAnsi" w:hAnsiTheme="minorHAnsi"/>
          <w:lang w:val="sv-SE"/>
        </w:rPr>
      </w:pPr>
    </w:p>
    <w:p w14:paraId="7904BDD8" w14:textId="5CD90F23" w:rsidR="009F276E" w:rsidRDefault="00911980" w:rsidP="00B34106">
      <w:pPr>
        <w:jc w:val="both"/>
        <w:rPr>
          <w:rFonts w:asciiTheme="minorHAnsi" w:hAnsiTheme="minorHAnsi"/>
          <w:lang w:val="sv-SE"/>
        </w:rPr>
      </w:pPr>
      <w:r>
        <w:rPr>
          <w:rFonts w:asciiTheme="minorHAnsi" w:hAnsiTheme="minorHAnsi"/>
          <w:lang w:val="sv-SE"/>
        </w:rPr>
        <w:t>Med andra ord finns det ingenting som tyder på att vårdval</w:t>
      </w:r>
      <w:r w:rsidRPr="0058542B">
        <w:rPr>
          <w:rFonts w:asciiTheme="minorHAnsi" w:hAnsiTheme="minorHAnsi"/>
          <w:i/>
          <w:iCs/>
          <w:lang w:val="sv-SE"/>
        </w:rPr>
        <w:t xml:space="preserve"> </w:t>
      </w:r>
      <w:r w:rsidRPr="00EA2B45">
        <w:rPr>
          <w:rFonts w:asciiTheme="minorHAnsi" w:hAnsiTheme="minorHAnsi"/>
          <w:lang w:val="sv-SE"/>
        </w:rPr>
        <w:t>i sig</w:t>
      </w:r>
      <w:r w:rsidRPr="0058542B">
        <w:rPr>
          <w:rFonts w:asciiTheme="minorHAnsi" w:hAnsiTheme="minorHAnsi"/>
          <w:i/>
          <w:iCs/>
          <w:lang w:val="sv-SE"/>
        </w:rPr>
        <w:t xml:space="preserve"> </w:t>
      </w:r>
      <w:r w:rsidRPr="001A5A4B">
        <w:rPr>
          <w:rFonts w:asciiTheme="minorHAnsi" w:hAnsiTheme="minorHAnsi"/>
          <w:lang w:val="sv-SE"/>
        </w:rPr>
        <w:t>leder</w:t>
      </w:r>
      <w:r>
        <w:rPr>
          <w:rFonts w:asciiTheme="minorHAnsi" w:hAnsiTheme="minorHAnsi"/>
          <w:lang w:val="sv-SE"/>
        </w:rPr>
        <w:t xml:space="preserve"> till ökade volymer och därmed totalkostnader.</w:t>
      </w:r>
      <w:r>
        <w:rPr>
          <w:rStyle w:val="Fotnotsreferens"/>
          <w:rFonts w:asciiTheme="minorHAnsi" w:hAnsiTheme="minorHAnsi"/>
          <w:lang w:val="sv-SE"/>
        </w:rPr>
        <w:footnoteReference w:id="10"/>
      </w:r>
      <w:r>
        <w:rPr>
          <w:rFonts w:asciiTheme="minorHAnsi" w:hAnsiTheme="minorHAnsi"/>
          <w:lang w:val="sv-SE"/>
        </w:rPr>
        <w:t xml:space="preserve"> I stället ger analysen ytterligare stöd för idén att det är någonting annat i Stockholm som gör att vårdvolymerna mer generellt ökar markant strax efter att man inför vårdval inom ögonsjukvård. Detta inkluderar utformningen på vårdvalet – i Region Jönköping råder exempelvis remisskrav från primärvården, vilket inte är fallet i Stockholm samt de övriga regionerna – men även andra möjliga, icke-vårdvalsrelaterade orsaker – såsom den striktare vårdgarantin (och dess interaktion med vårdvalet) – till att volymerna inom ögonsjukvården är högre i Stockholm än i övriga landet.</w:t>
      </w:r>
    </w:p>
    <w:p w14:paraId="2BFC2588" w14:textId="5D9B0560" w:rsidR="00EC5156" w:rsidRDefault="00EE5BF3" w:rsidP="00B34106">
      <w:pPr>
        <w:jc w:val="both"/>
        <w:rPr>
          <w:rFonts w:asciiTheme="minorHAnsi" w:hAnsiTheme="minorHAnsi"/>
          <w:lang w:val="sv-SE"/>
        </w:rPr>
      </w:pPr>
      <w:r>
        <w:rPr>
          <w:rFonts w:asciiTheme="minorHAnsi" w:hAnsiTheme="minorHAnsi"/>
          <w:noProof/>
          <w:lang w:val="sv-SE"/>
        </w:rPr>
        <w:lastRenderedPageBreak/>
        <w:drawing>
          <wp:inline distT="0" distB="0" distL="0" distR="0" wp14:anchorId="7079DDB8" wp14:editId="4A5AAB04">
            <wp:extent cx="5727700" cy="3938031"/>
            <wp:effectExtent l="0" t="0" r="6350" b="5715"/>
            <wp:docPr id="1939036962" name="Chart 19390369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828694" w14:textId="77777777" w:rsidR="00EC5156" w:rsidRDefault="00EC5156" w:rsidP="00B34106">
      <w:pPr>
        <w:jc w:val="both"/>
        <w:rPr>
          <w:rFonts w:asciiTheme="minorHAnsi" w:hAnsiTheme="minorHAnsi"/>
          <w:lang w:val="sv-SE"/>
        </w:rPr>
      </w:pPr>
    </w:p>
    <w:p w14:paraId="7A46F778" w14:textId="77777777" w:rsidR="00743B50" w:rsidRDefault="00743B50" w:rsidP="00743B50">
      <w:pPr>
        <w:jc w:val="both"/>
        <w:rPr>
          <w:rFonts w:asciiTheme="minorHAnsi" w:hAnsiTheme="minorHAnsi"/>
          <w:lang w:val="sv-SE"/>
        </w:rPr>
      </w:pPr>
    </w:p>
    <w:p w14:paraId="0F909E26" w14:textId="2B6B2422" w:rsidR="00743B50" w:rsidRDefault="00743B50" w:rsidP="00743B50">
      <w:pPr>
        <w:jc w:val="both"/>
        <w:rPr>
          <w:rFonts w:asciiTheme="minorHAnsi" w:hAnsiTheme="minorHAnsi"/>
          <w:lang w:val="sv-SE"/>
        </w:rPr>
      </w:pPr>
      <w:r>
        <w:rPr>
          <w:rFonts w:asciiTheme="minorHAnsi" w:hAnsiTheme="minorHAnsi"/>
          <w:lang w:val="sv-SE"/>
        </w:rPr>
        <w:t xml:space="preserve">Över lag är det dock rimligt </w:t>
      </w:r>
      <w:r w:rsidR="000B0AF4">
        <w:rPr>
          <w:rFonts w:asciiTheme="minorHAnsi" w:hAnsiTheme="minorHAnsi"/>
          <w:lang w:val="sv-SE"/>
        </w:rPr>
        <w:t>a</w:t>
      </w:r>
      <w:r w:rsidR="0098237E">
        <w:rPr>
          <w:rFonts w:asciiTheme="minorHAnsi" w:hAnsiTheme="minorHAnsi"/>
          <w:lang w:val="sv-SE"/>
        </w:rPr>
        <w:t>t</w:t>
      </w:r>
      <w:r w:rsidR="000B0AF4">
        <w:rPr>
          <w:rFonts w:asciiTheme="minorHAnsi" w:hAnsiTheme="minorHAnsi"/>
          <w:lang w:val="sv-SE"/>
        </w:rPr>
        <w:t xml:space="preserve">t </w:t>
      </w:r>
      <w:r>
        <w:rPr>
          <w:rFonts w:asciiTheme="minorHAnsi" w:hAnsiTheme="minorHAnsi"/>
          <w:lang w:val="sv-SE"/>
        </w:rPr>
        <w:t>Stockholms version av vårdval</w:t>
      </w:r>
      <w:r w:rsidR="00790F8E">
        <w:rPr>
          <w:rFonts w:asciiTheme="minorHAnsi" w:hAnsiTheme="minorHAnsi"/>
          <w:lang w:val="sv-SE"/>
        </w:rPr>
        <w:t xml:space="preserve"> – </w:t>
      </w:r>
      <w:r w:rsidR="008043D5">
        <w:rPr>
          <w:rFonts w:asciiTheme="minorHAnsi" w:hAnsiTheme="minorHAnsi"/>
          <w:lang w:val="sv-SE"/>
        </w:rPr>
        <w:t>åtminstone i kombination med</w:t>
      </w:r>
      <w:r w:rsidR="000B0AF4">
        <w:rPr>
          <w:rFonts w:asciiTheme="minorHAnsi" w:hAnsiTheme="minorHAnsi"/>
          <w:lang w:val="sv-SE"/>
        </w:rPr>
        <w:t xml:space="preserve"> </w:t>
      </w:r>
      <w:r w:rsidR="00790F8E">
        <w:rPr>
          <w:rFonts w:asciiTheme="minorHAnsi" w:hAnsiTheme="minorHAnsi"/>
          <w:lang w:val="sv-SE"/>
        </w:rPr>
        <w:t>(</w:t>
      </w:r>
      <w:r w:rsidR="000B0AF4">
        <w:rPr>
          <w:rFonts w:asciiTheme="minorHAnsi" w:hAnsiTheme="minorHAnsi"/>
          <w:lang w:val="sv-SE"/>
        </w:rPr>
        <w:t>den strikta</w:t>
      </w:r>
      <w:r w:rsidR="004B382C">
        <w:rPr>
          <w:rFonts w:asciiTheme="minorHAnsi" w:hAnsiTheme="minorHAnsi"/>
          <w:lang w:val="sv-SE"/>
        </w:rPr>
        <w:t>re</w:t>
      </w:r>
      <w:r w:rsidR="00790F8E">
        <w:rPr>
          <w:rFonts w:asciiTheme="minorHAnsi" w:hAnsiTheme="minorHAnsi"/>
          <w:lang w:val="sv-SE"/>
        </w:rPr>
        <w:t>)</w:t>
      </w:r>
      <w:r w:rsidR="000B0AF4">
        <w:rPr>
          <w:rFonts w:asciiTheme="minorHAnsi" w:hAnsiTheme="minorHAnsi"/>
          <w:lang w:val="sv-SE"/>
        </w:rPr>
        <w:t xml:space="preserve"> </w:t>
      </w:r>
      <w:r w:rsidR="008043D5">
        <w:rPr>
          <w:rFonts w:asciiTheme="minorHAnsi" w:hAnsiTheme="minorHAnsi"/>
          <w:lang w:val="sv-SE"/>
        </w:rPr>
        <w:t>vårdgarantin</w:t>
      </w:r>
      <w:r w:rsidR="00790F8E">
        <w:rPr>
          <w:rFonts w:asciiTheme="minorHAnsi" w:hAnsiTheme="minorHAnsi"/>
          <w:lang w:val="sv-SE"/>
        </w:rPr>
        <w:t xml:space="preserve"> –</w:t>
      </w:r>
      <w:r w:rsidR="0070081F">
        <w:rPr>
          <w:rFonts w:asciiTheme="minorHAnsi" w:hAnsiTheme="minorHAnsi"/>
          <w:lang w:val="sv-SE"/>
        </w:rPr>
        <w:t xml:space="preserve"> </w:t>
      </w:r>
      <w:r>
        <w:rPr>
          <w:rFonts w:asciiTheme="minorHAnsi" w:hAnsiTheme="minorHAnsi"/>
          <w:lang w:val="sv-SE"/>
        </w:rPr>
        <w:t>påverkade vårdvolymerna</w:t>
      </w:r>
      <w:r w:rsidR="007B5AD6">
        <w:rPr>
          <w:rFonts w:asciiTheme="minorHAnsi" w:hAnsiTheme="minorHAnsi"/>
          <w:lang w:val="sv-SE"/>
        </w:rPr>
        <w:t xml:space="preserve"> inom ögonsjukvården</w:t>
      </w:r>
      <w:r>
        <w:rPr>
          <w:rFonts w:asciiTheme="minorHAnsi" w:hAnsiTheme="minorHAnsi"/>
          <w:lang w:val="sv-SE"/>
        </w:rPr>
        <w:t xml:space="preserve"> </w:t>
      </w:r>
      <w:r w:rsidR="00DA1C5C">
        <w:rPr>
          <w:rFonts w:asciiTheme="minorHAnsi" w:hAnsiTheme="minorHAnsi"/>
          <w:lang w:val="sv-SE"/>
        </w:rPr>
        <w:t xml:space="preserve">för en </w:t>
      </w:r>
      <w:r>
        <w:rPr>
          <w:rFonts w:asciiTheme="minorHAnsi" w:hAnsiTheme="minorHAnsi"/>
          <w:lang w:val="sv-SE"/>
        </w:rPr>
        <w:t>kort tid (mellan 2011 och 2013)</w:t>
      </w:r>
      <w:r w:rsidR="005F27A0">
        <w:rPr>
          <w:rFonts w:asciiTheme="minorHAnsi" w:hAnsiTheme="minorHAnsi"/>
          <w:lang w:val="sv-SE"/>
        </w:rPr>
        <w:t xml:space="preserve">. </w:t>
      </w:r>
      <w:r>
        <w:rPr>
          <w:rFonts w:asciiTheme="minorHAnsi" w:hAnsiTheme="minorHAnsi"/>
          <w:lang w:val="sv-SE"/>
        </w:rPr>
        <w:t xml:space="preserve">Men analysen kan inte med säkerhet säga hur stor del av ökningen som beror på vårdvalet och hur stor del som beror på </w:t>
      </w:r>
      <w:r w:rsidR="0070081F">
        <w:rPr>
          <w:rFonts w:asciiTheme="minorHAnsi" w:hAnsiTheme="minorHAnsi"/>
          <w:lang w:val="sv-SE"/>
        </w:rPr>
        <w:t xml:space="preserve">andra </w:t>
      </w:r>
      <w:r>
        <w:rPr>
          <w:rFonts w:asciiTheme="minorHAnsi" w:hAnsiTheme="minorHAnsi"/>
          <w:lang w:val="sv-SE"/>
        </w:rPr>
        <w:t>faktorer</w:t>
      </w:r>
      <w:r w:rsidR="005F27A0">
        <w:rPr>
          <w:rFonts w:asciiTheme="minorHAnsi" w:hAnsiTheme="minorHAnsi"/>
          <w:lang w:val="sv-SE"/>
        </w:rPr>
        <w:t xml:space="preserve"> (och interaktione</w:t>
      </w:r>
      <w:r w:rsidR="0070081F">
        <w:rPr>
          <w:rFonts w:asciiTheme="minorHAnsi" w:hAnsiTheme="minorHAnsi"/>
          <w:lang w:val="sv-SE"/>
        </w:rPr>
        <w:t>r mellan faktorer</w:t>
      </w:r>
      <w:r w:rsidR="005F27A0">
        <w:rPr>
          <w:rFonts w:asciiTheme="minorHAnsi" w:hAnsiTheme="minorHAnsi"/>
          <w:lang w:val="sv-SE"/>
        </w:rPr>
        <w:t>)</w:t>
      </w:r>
      <w:r>
        <w:rPr>
          <w:rFonts w:asciiTheme="minorHAnsi" w:hAnsiTheme="minorHAnsi"/>
          <w:lang w:val="sv-SE"/>
        </w:rPr>
        <w:t>.</w:t>
      </w:r>
    </w:p>
    <w:p w14:paraId="3A0FCC7B" w14:textId="77777777" w:rsidR="00743B50" w:rsidRDefault="00743B50" w:rsidP="00743B50">
      <w:pPr>
        <w:jc w:val="both"/>
        <w:rPr>
          <w:rFonts w:asciiTheme="minorHAnsi" w:hAnsiTheme="minorHAnsi"/>
          <w:lang w:val="sv-SE"/>
        </w:rPr>
      </w:pPr>
    </w:p>
    <w:p w14:paraId="0F586C0F" w14:textId="45A55795" w:rsidR="00B34106" w:rsidRDefault="0058542B" w:rsidP="005D47D0">
      <w:pPr>
        <w:jc w:val="both"/>
        <w:rPr>
          <w:rFonts w:asciiTheme="minorHAnsi" w:hAnsiTheme="minorHAnsi"/>
          <w:lang w:val="sv-SE"/>
        </w:rPr>
      </w:pPr>
      <w:r>
        <w:rPr>
          <w:rFonts w:asciiTheme="minorHAnsi" w:hAnsiTheme="minorHAnsi"/>
          <w:lang w:val="sv-SE"/>
        </w:rPr>
        <w:t>I</w:t>
      </w:r>
      <w:r w:rsidR="00743B50">
        <w:rPr>
          <w:rFonts w:asciiTheme="minorHAnsi" w:hAnsiTheme="minorHAnsi"/>
          <w:lang w:val="sv-SE"/>
        </w:rPr>
        <w:t xml:space="preserve"> den mån trendbrottet faktiskt fångar upp den kausala effekten av vårdvalet </w:t>
      </w:r>
      <w:r w:rsidR="005F27A0">
        <w:rPr>
          <w:rFonts w:asciiTheme="minorHAnsi" w:hAnsiTheme="minorHAnsi"/>
          <w:lang w:val="sv-SE"/>
        </w:rPr>
        <w:t xml:space="preserve">i sig </w:t>
      </w:r>
      <w:r w:rsidR="00743B50">
        <w:rPr>
          <w:rFonts w:asciiTheme="minorHAnsi" w:hAnsiTheme="minorHAnsi"/>
          <w:lang w:val="sv-SE"/>
        </w:rPr>
        <w:t xml:space="preserve">tyder </w:t>
      </w:r>
      <w:r w:rsidR="00265925">
        <w:rPr>
          <w:rFonts w:asciiTheme="minorHAnsi" w:hAnsiTheme="minorHAnsi"/>
          <w:lang w:val="sv-SE"/>
        </w:rPr>
        <w:t>det</w:t>
      </w:r>
      <w:r w:rsidR="00743B50">
        <w:rPr>
          <w:rFonts w:asciiTheme="minorHAnsi" w:hAnsiTheme="minorHAnsi"/>
          <w:lang w:val="sv-SE"/>
        </w:rPr>
        <w:t xml:space="preserve"> i så fall</w:t>
      </w:r>
      <w:r w:rsidR="008043D5">
        <w:rPr>
          <w:rFonts w:asciiTheme="minorHAnsi" w:hAnsiTheme="minorHAnsi"/>
          <w:lang w:val="sv-SE"/>
        </w:rPr>
        <w:t xml:space="preserve"> </w:t>
      </w:r>
      <w:r w:rsidR="00743B50">
        <w:rPr>
          <w:rFonts w:asciiTheme="minorHAnsi" w:hAnsiTheme="minorHAnsi"/>
          <w:lang w:val="sv-SE"/>
        </w:rPr>
        <w:t>på att det i huvudsak rör sig om ett uppdämt behov av ögonsjukvård som plötsligt kunde tillgodoses.</w:t>
      </w:r>
      <w:r w:rsidR="0091558A">
        <w:rPr>
          <w:rFonts w:asciiTheme="minorHAnsi" w:hAnsiTheme="minorHAnsi"/>
          <w:lang w:val="sv-SE"/>
        </w:rPr>
        <w:t xml:space="preserve"> </w:t>
      </w:r>
      <w:r w:rsidR="0026586D">
        <w:rPr>
          <w:rFonts w:asciiTheme="minorHAnsi" w:hAnsiTheme="minorHAnsi"/>
          <w:lang w:val="sv-SE"/>
        </w:rPr>
        <w:t>Hade ökningen berott på</w:t>
      </w:r>
      <w:r w:rsidR="003F483C">
        <w:rPr>
          <w:rFonts w:asciiTheme="minorHAnsi" w:hAnsiTheme="minorHAnsi"/>
          <w:lang w:val="sv-SE"/>
        </w:rPr>
        <w:t xml:space="preserve"> medicinskt omotiverad sjukvård </w:t>
      </w:r>
      <w:r w:rsidR="0026586D">
        <w:rPr>
          <w:rFonts w:asciiTheme="minorHAnsi" w:hAnsiTheme="minorHAnsi"/>
          <w:lang w:val="sv-SE"/>
        </w:rPr>
        <w:t xml:space="preserve">vore det rimligare att ökningen </w:t>
      </w:r>
      <w:r w:rsidR="00D074A6">
        <w:rPr>
          <w:rFonts w:asciiTheme="minorHAnsi" w:hAnsiTheme="minorHAnsi"/>
          <w:lang w:val="sv-SE"/>
        </w:rPr>
        <w:t xml:space="preserve">skett </w:t>
      </w:r>
      <w:r w:rsidR="0026586D">
        <w:rPr>
          <w:rFonts w:asciiTheme="minorHAnsi" w:hAnsiTheme="minorHAnsi"/>
          <w:lang w:val="sv-SE"/>
        </w:rPr>
        <w:t xml:space="preserve">gradvis, i takt med att människor </w:t>
      </w:r>
      <w:r w:rsidR="00D074A6">
        <w:rPr>
          <w:rFonts w:asciiTheme="minorHAnsi" w:hAnsiTheme="minorHAnsi"/>
          <w:lang w:val="sv-SE"/>
        </w:rPr>
        <w:t xml:space="preserve">anpassar sina preferenser till möjligheten att söka vård. </w:t>
      </w:r>
      <w:r w:rsidR="008366F0">
        <w:rPr>
          <w:rFonts w:asciiTheme="minorHAnsi" w:hAnsiTheme="minorHAnsi"/>
          <w:lang w:val="sv-SE"/>
        </w:rPr>
        <w:t>I stället observerar vi</w:t>
      </w:r>
      <w:r w:rsidR="00D074A6">
        <w:rPr>
          <w:rFonts w:asciiTheme="minorHAnsi" w:hAnsiTheme="minorHAnsi"/>
          <w:lang w:val="sv-SE"/>
        </w:rPr>
        <w:t xml:space="preserve"> en kraftig ökning på väldigt kort tid, vilket tyder på att människor som tidigare inte sökte vård på grund av låg tillgänglighet valde att göra det </w:t>
      </w:r>
      <w:r w:rsidR="00737227">
        <w:rPr>
          <w:rFonts w:asciiTheme="minorHAnsi" w:hAnsiTheme="minorHAnsi"/>
          <w:lang w:val="sv-SE"/>
        </w:rPr>
        <w:t>när</w:t>
      </w:r>
      <w:r w:rsidR="00D074A6">
        <w:rPr>
          <w:rFonts w:asciiTheme="minorHAnsi" w:hAnsiTheme="minorHAnsi"/>
          <w:lang w:val="sv-SE"/>
        </w:rPr>
        <w:t xml:space="preserve"> vårdvalet genomfördes.</w:t>
      </w:r>
    </w:p>
    <w:p w14:paraId="4202870A" w14:textId="77777777" w:rsidR="00D074A6" w:rsidRPr="00064C96" w:rsidRDefault="00D074A6" w:rsidP="005D47D0">
      <w:pPr>
        <w:jc w:val="both"/>
        <w:rPr>
          <w:rFonts w:asciiTheme="minorHAnsi" w:hAnsiTheme="minorHAnsi"/>
          <w:lang w:val="sv-SE"/>
        </w:rPr>
      </w:pPr>
    </w:p>
    <w:p w14:paraId="36F429B0" w14:textId="4FE87FFC" w:rsidR="0056290F" w:rsidRPr="00B22C13" w:rsidRDefault="00730CC7" w:rsidP="004431F7">
      <w:pPr>
        <w:pStyle w:val="Rubrik3"/>
        <w:numPr>
          <w:ilvl w:val="2"/>
          <w:numId w:val="2"/>
        </w:numPr>
        <w:jc w:val="both"/>
        <w:rPr>
          <w:rFonts w:asciiTheme="minorHAnsi" w:hAnsiTheme="minorHAnsi"/>
          <w:lang w:val="sv-SE"/>
        </w:rPr>
      </w:pPr>
      <w:bookmarkStart w:id="10" w:name="_Toc164353523"/>
      <w:r>
        <w:rPr>
          <w:rFonts w:asciiTheme="minorHAnsi" w:hAnsiTheme="minorHAnsi"/>
          <w:lang w:val="sv-SE"/>
        </w:rPr>
        <w:t xml:space="preserve">Hur </w:t>
      </w:r>
      <w:r w:rsidR="00737227">
        <w:rPr>
          <w:rFonts w:asciiTheme="minorHAnsi" w:hAnsiTheme="minorHAnsi"/>
          <w:lang w:val="sv-SE"/>
        </w:rPr>
        <w:t xml:space="preserve">påverkas </w:t>
      </w:r>
      <w:r>
        <w:rPr>
          <w:rFonts w:asciiTheme="minorHAnsi" w:hAnsiTheme="minorHAnsi"/>
          <w:lang w:val="sv-SE"/>
        </w:rPr>
        <w:t>vårdköerna?</w:t>
      </w:r>
      <w:bookmarkEnd w:id="10"/>
    </w:p>
    <w:p w14:paraId="14C371C1" w14:textId="77777777" w:rsidR="00431A7F" w:rsidRPr="00B22C13" w:rsidRDefault="00431A7F" w:rsidP="00431A7F">
      <w:pPr>
        <w:rPr>
          <w:rFonts w:asciiTheme="minorHAnsi" w:hAnsiTheme="minorHAnsi"/>
          <w:lang w:val="sv-SE"/>
        </w:rPr>
      </w:pPr>
    </w:p>
    <w:p w14:paraId="2EE86A6A" w14:textId="50911EA3" w:rsidR="00B22C13" w:rsidRDefault="00B22C13" w:rsidP="00605FD8">
      <w:pPr>
        <w:jc w:val="both"/>
        <w:rPr>
          <w:rFonts w:ascii="Cambria" w:hAnsi="Cambria"/>
          <w:lang w:val="sv-SE"/>
        </w:rPr>
      </w:pPr>
      <w:r w:rsidRPr="00B22C13">
        <w:rPr>
          <w:rFonts w:asciiTheme="minorHAnsi" w:hAnsiTheme="minorHAnsi"/>
          <w:lang w:val="sv-SE"/>
        </w:rPr>
        <w:t xml:space="preserve">I den </w:t>
      </w:r>
      <w:r>
        <w:rPr>
          <w:rFonts w:asciiTheme="minorHAnsi" w:hAnsiTheme="minorHAnsi"/>
          <w:lang w:val="sv-SE"/>
        </w:rPr>
        <w:t xml:space="preserve">mån </w:t>
      </w:r>
      <w:r w:rsidR="006A3C31">
        <w:rPr>
          <w:rFonts w:asciiTheme="minorHAnsi" w:hAnsiTheme="minorHAnsi"/>
          <w:lang w:val="sv-SE"/>
        </w:rPr>
        <w:t xml:space="preserve">trendbrottet i </w:t>
      </w:r>
      <w:r>
        <w:rPr>
          <w:rFonts w:asciiTheme="minorHAnsi" w:hAnsiTheme="minorHAnsi"/>
          <w:lang w:val="sv-SE"/>
        </w:rPr>
        <w:t>volymerna</w:t>
      </w:r>
      <w:r w:rsidR="00605FD8">
        <w:rPr>
          <w:rFonts w:asciiTheme="minorHAnsi" w:hAnsiTheme="minorHAnsi"/>
          <w:lang w:val="sv-SE"/>
        </w:rPr>
        <w:t xml:space="preserve"> inom ögonsjukvården</w:t>
      </w:r>
      <w:r w:rsidR="006A3C31">
        <w:rPr>
          <w:rFonts w:asciiTheme="minorHAnsi" w:hAnsiTheme="minorHAnsi"/>
          <w:lang w:val="sv-SE"/>
        </w:rPr>
        <w:t xml:space="preserve"> mellan 2011 och 2013</w:t>
      </w:r>
      <w:r>
        <w:rPr>
          <w:rFonts w:asciiTheme="minorHAnsi" w:hAnsiTheme="minorHAnsi"/>
          <w:lang w:val="sv-SE"/>
        </w:rPr>
        <w:t xml:space="preserve"> </w:t>
      </w:r>
      <w:r w:rsidR="006A3C31">
        <w:rPr>
          <w:rFonts w:asciiTheme="minorHAnsi" w:hAnsiTheme="minorHAnsi"/>
          <w:lang w:val="sv-SE"/>
        </w:rPr>
        <w:t>skedde</w:t>
      </w:r>
      <w:r>
        <w:rPr>
          <w:rFonts w:asciiTheme="minorHAnsi" w:hAnsiTheme="minorHAnsi"/>
          <w:lang w:val="sv-SE"/>
        </w:rPr>
        <w:t xml:space="preserve"> på grund av vårdvalet </w:t>
      </w:r>
      <w:r w:rsidR="00D14F15">
        <w:rPr>
          <w:rFonts w:asciiTheme="minorHAnsi" w:hAnsiTheme="minorHAnsi"/>
          <w:lang w:val="sv-SE"/>
        </w:rPr>
        <w:t xml:space="preserve">är det </w:t>
      </w:r>
      <w:r w:rsidR="002C27B6">
        <w:rPr>
          <w:rFonts w:asciiTheme="minorHAnsi" w:hAnsiTheme="minorHAnsi"/>
          <w:lang w:val="sv-SE"/>
        </w:rPr>
        <w:t xml:space="preserve">samtidigt </w:t>
      </w:r>
      <w:r w:rsidR="0042668F">
        <w:rPr>
          <w:rFonts w:asciiTheme="minorHAnsi" w:hAnsiTheme="minorHAnsi"/>
          <w:lang w:val="sv-SE"/>
        </w:rPr>
        <w:t>rimligt att det också har</w:t>
      </w:r>
      <w:r w:rsidR="00D14F15">
        <w:rPr>
          <w:rFonts w:asciiTheme="minorHAnsi" w:hAnsiTheme="minorHAnsi"/>
          <w:lang w:val="sv-SE"/>
        </w:rPr>
        <w:t xml:space="preserve"> ökat möjligheterna för Stockholm att upprätthålla vårdgarantin. </w:t>
      </w:r>
      <w:r w:rsidR="002C27B6">
        <w:rPr>
          <w:rFonts w:asciiTheme="minorHAnsi" w:hAnsiTheme="minorHAnsi"/>
          <w:lang w:val="sv-SE"/>
        </w:rPr>
        <w:t xml:space="preserve">Detta är svårare att studera eftersom det inte finns </w:t>
      </w:r>
      <w:r w:rsidR="00002FE7">
        <w:rPr>
          <w:rFonts w:asciiTheme="minorHAnsi" w:hAnsiTheme="minorHAnsi"/>
          <w:lang w:val="sv-SE"/>
        </w:rPr>
        <w:t xml:space="preserve">någon </w:t>
      </w:r>
      <w:r w:rsidR="002C27B6">
        <w:rPr>
          <w:rFonts w:asciiTheme="minorHAnsi" w:hAnsiTheme="minorHAnsi"/>
          <w:lang w:val="sv-SE"/>
        </w:rPr>
        <w:t>statistik över vårdköer längre tillbaka i tiden än april 2011</w:t>
      </w:r>
      <w:r w:rsidR="00B72B59">
        <w:rPr>
          <w:rFonts w:asciiTheme="minorHAnsi" w:hAnsiTheme="minorHAnsi"/>
          <w:lang w:val="sv-SE"/>
        </w:rPr>
        <w:t xml:space="preserve">. </w:t>
      </w:r>
      <w:r w:rsidR="002A592C">
        <w:rPr>
          <w:rFonts w:asciiTheme="minorHAnsi" w:hAnsiTheme="minorHAnsi"/>
          <w:lang w:val="sv-SE"/>
        </w:rPr>
        <w:t xml:space="preserve">Det saknas dessutom statistik för några län över vissa kvartal år 2011, däribland </w:t>
      </w:r>
      <w:r w:rsidR="008153CD">
        <w:rPr>
          <w:rFonts w:asciiTheme="minorHAnsi" w:hAnsiTheme="minorHAnsi"/>
          <w:lang w:val="sv-SE"/>
        </w:rPr>
        <w:t>Stockholm</w:t>
      </w:r>
      <w:r w:rsidR="002A592C">
        <w:rPr>
          <w:rFonts w:asciiTheme="minorHAnsi" w:hAnsiTheme="minorHAnsi"/>
          <w:lang w:val="sv-SE"/>
        </w:rPr>
        <w:t>s län.</w:t>
      </w:r>
      <w:r w:rsidR="00CC3DBD">
        <w:rPr>
          <w:rStyle w:val="Fotnotsreferens"/>
          <w:rFonts w:ascii="Cambria" w:hAnsi="Cambria"/>
          <w:lang w:val="sv-SE"/>
        </w:rPr>
        <w:footnoteReference w:id="11"/>
      </w:r>
      <w:r w:rsidR="002A592C">
        <w:rPr>
          <w:rFonts w:asciiTheme="minorHAnsi" w:hAnsiTheme="minorHAnsi"/>
          <w:lang w:val="sv-SE"/>
        </w:rPr>
        <w:t xml:space="preserve"> </w:t>
      </w:r>
      <w:r w:rsidR="002A592C">
        <w:rPr>
          <w:rFonts w:asciiTheme="minorHAnsi" w:hAnsiTheme="minorHAnsi"/>
          <w:lang w:val="sv-SE"/>
        </w:rPr>
        <w:lastRenderedPageBreak/>
        <w:t xml:space="preserve">Men med de data som finns kan man i varje fall studera utvecklingen av vårdköerna inom ögonsjukvården </w:t>
      </w:r>
      <w:r w:rsidR="00CD7478">
        <w:rPr>
          <w:rFonts w:asciiTheme="minorHAnsi" w:hAnsiTheme="minorHAnsi"/>
          <w:lang w:val="sv-SE"/>
        </w:rPr>
        <w:t>sedan dess</w:t>
      </w:r>
      <w:r w:rsidR="00B72B59">
        <w:rPr>
          <w:rFonts w:asciiTheme="minorHAnsi" w:hAnsiTheme="minorHAnsi"/>
          <w:lang w:val="sv-SE"/>
        </w:rPr>
        <w:t xml:space="preserve"> (SKR 2024</w:t>
      </w:r>
      <w:r w:rsidR="0070299F">
        <w:rPr>
          <w:rFonts w:asciiTheme="minorHAnsi" w:hAnsiTheme="minorHAnsi"/>
          <w:lang w:val="sv-SE"/>
        </w:rPr>
        <w:t>d</w:t>
      </w:r>
      <w:r w:rsidR="00B72B59">
        <w:rPr>
          <w:rFonts w:asciiTheme="minorHAnsi" w:hAnsiTheme="minorHAnsi"/>
          <w:lang w:val="sv-SE"/>
        </w:rPr>
        <w:t>).</w:t>
      </w:r>
    </w:p>
    <w:p w14:paraId="1D521490" w14:textId="77777777" w:rsidR="00022269" w:rsidRDefault="00022269" w:rsidP="00605FD8">
      <w:pPr>
        <w:jc w:val="both"/>
        <w:rPr>
          <w:rFonts w:ascii="Cambria" w:hAnsi="Cambria"/>
          <w:lang w:val="sv-SE"/>
        </w:rPr>
      </w:pPr>
    </w:p>
    <w:p w14:paraId="16C63CE9" w14:textId="4C8ACB0E" w:rsidR="00022269" w:rsidRDefault="002410FF" w:rsidP="00605FD8">
      <w:pPr>
        <w:jc w:val="both"/>
        <w:rPr>
          <w:rFonts w:ascii="Cambria" w:hAnsi="Cambria"/>
          <w:lang w:val="sv-SE"/>
        </w:rPr>
      </w:pPr>
      <w:r>
        <w:rPr>
          <w:rFonts w:ascii="Cambria" w:hAnsi="Cambria"/>
          <w:lang w:val="sv-SE"/>
        </w:rPr>
        <w:t xml:space="preserve">Figur </w:t>
      </w:r>
      <w:r w:rsidR="00140434">
        <w:rPr>
          <w:rFonts w:ascii="Cambria" w:hAnsi="Cambria"/>
          <w:lang w:val="sv-SE"/>
        </w:rPr>
        <w:t>5</w:t>
      </w:r>
      <w:r>
        <w:rPr>
          <w:rFonts w:ascii="Cambria" w:hAnsi="Cambria"/>
          <w:lang w:val="sv-SE"/>
        </w:rPr>
        <w:t xml:space="preserve"> visa</w:t>
      </w:r>
      <w:r w:rsidR="001168A7">
        <w:rPr>
          <w:rFonts w:ascii="Cambria" w:hAnsi="Cambria"/>
          <w:lang w:val="sv-SE"/>
        </w:rPr>
        <w:t>r</w:t>
      </w:r>
      <w:r>
        <w:rPr>
          <w:rFonts w:ascii="Cambria" w:hAnsi="Cambria"/>
          <w:lang w:val="sv-SE"/>
        </w:rPr>
        <w:t xml:space="preserve"> att</w:t>
      </w:r>
      <w:r w:rsidR="00FF37B4">
        <w:rPr>
          <w:rFonts w:ascii="Cambria" w:hAnsi="Cambria"/>
          <w:lang w:val="sv-SE"/>
        </w:rPr>
        <w:t xml:space="preserve"> Stockholm</w:t>
      </w:r>
      <w:r w:rsidR="00674E01">
        <w:rPr>
          <w:rFonts w:ascii="Cambria" w:hAnsi="Cambria"/>
          <w:lang w:val="sv-SE"/>
        </w:rPr>
        <w:t xml:space="preserve"> </w:t>
      </w:r>
      <w:r w:rsidR="005C42F1">
        <w:rPr>
          <w:rFonts w:ascii="Cambria" w:hAnsi="Cambria"/>
          <w:lang w:val="sv-SE"/>
        </w:rPr>
        <w:t>har lyckats bättre med att upprätthålla vårdgarantin</w:t>
      </w:r>
      <w:r w:rsidR="002A592C">
        <w:rPr>
          <w:rFonts w:ascii="Cambria" w:hAnsi="Cambria"/>
          <w:lang w:val="sv-SE"/>
        </w:rPr>
        <w:t xml:space="preserve"> över tid</w:t>
      </w:r>
      <w:r w:rsidR="005C42F1">
        <w:rPr>
          <w:rFonts w:ascii="Cambria" w:hAnsi="Cambria"/>
          <w:lang w:val="sv-SE"/>
        </w:rPr>
        <w:t xml:space="preserve"> jämfört med resten av landet i snitt</w:t>
      </w:r>
      <w:r w:rsidR="0074765E">
        <w:rPr>
          <w:rFonts w:ascii="Cambria" w:hAnsi="Cambria"/>
          <w:lang w:val="sv-SE"/>
        </w:rPr>
        <w:t xml:space="preserve">. </w:t>
      </w:r>
      <w:r w:rsidR="00674E01">
        <w:rPr>
          <w:rFonts w:ascii="Cambria" w:hAnsi="Cambria"/>
          <w:lang w:val="sv-SE"/>
        </w:rPr>
        <w:t>Redan innan vårdvalet inför</w:t>
      </w:r>
      <w:r w:rsidR="008043D5">
        <w:rPr>
          <w:rFonts w:ascii="Cambria" w:hAnsi="Cambria"/>
          <w:lang w:val="sv-SE"/>
        </w:rPr>
        <w:t>de</w:t>
      </w:r>
      <w:r w:rsidR="00674E01">
        <w:rPr>
          <w:rFonts w:ascii="Cambria" w:hAnsi="Cambria"/>
          <w:lang w:val="sv-SE"/>
        </w:rPr>
        <w:t>s nå</w:t>
      </w:r>
      <w:r w:rsidR="002A592C">
        <w:rPr>
          <w:rFonts w:ascii="Cambria" w:hAnsi="Cambria"/>
          <w:lang w:val="sv-SE"/>
        </w:rPr>
        <w:t>dde</w:t>
      </w:r>
      <w:r w:rsidR="00674E01">
        <w:rPr>
          <w:rFonts w:ascii="Cambria" w:hAnsi="Cambria"/>
          <w:lang w:val="sv-SE"/>
        </w:rPr>
        <w:t xml:space="preserve"> Stockholm bättre utfall, men medan </w:t>
      </w:r>
      <w:r w:rsidR="002A592C">
        <w:rPr>
          <w:rFonts w:ascii="Cambria" w:hAnsi="Cambria"/>
          <w:lang w:val="sv-SE"/>
        </w:rPr>
        <w:t>utfallen</w:t>
      </w:r>
      <w:r w:rsidR="00674E01">
        <w:rPr>
          <w:rFonts w:ascii="Cambria" w:hAnsi="Cambria"/>
          <w:lang w:val="sv-SE"/>
        </w:rPr>
        <w:t xml:space="preserve"> </w:t>
      </w:r>
      <w:r w:rsidR="00D93DE6">
        <w:rPr>
          <w:rFonts w:ascii="Cambria" w:hAnsi="Cambria"/>
          <w:lang w:val="sv-SE"/>
        </w:rPr>
        <w:t xml:space="preserve">i </w:t>
      </w:r>
      <w:r w:rsidR="00674E01">
        <w:rPr>
          <w:rFonts w:ascii="Cambria" w:hAnsi="Cambria"/>
          <w:lang w:val="sv-SE"/>
        </w:rPr>
        <w:t xml:space="preserve">Stockholm </w:t>
      </w:r>
      <w:r w:rsidR="00603792">
        <w:rPr>
          <w:rFonts w:ascii="Cambria" w:hAnsi="Cambria"/>
          <w:lang w:val="sv-SE"/>
        </w:rPr>
        <w:t xml:space="preserve">har </w:t>
      </w:r>
      <w:r w:rsidR="00D93DE6">
        <w:rPr>
          <w:rFonts w:ascii="Cambria" w:hAnsi="Cambria"/>
          <w:lang w:val="sv-SE"/>
        </w:rPr>
        <w:t>legat på en stabil</w:t>
      </w:r>
      <w:r w:rsidR="008043D5">
        <w:rPr>
          <w:rFonts w:ascii="Cambria" w:hAnsi="Cambria"/>
          <w:lang w:val="sv-SE"/>
        </w:rPr>
        <w:t>t</w:t>
      </w:r>
      <w:r w:rsidR="00D93DE6">
        <w:rPr>
          <w:rFonts w:ascii="Cambria" w:hAnsi="Cambria"/>
          <w:lang w:val="sv-SE"/>
        </w:rPr>
        <w:t xml:space="preserve"> hög nivå </w:t>
      </w:r>
      <w:r w:rsidR="005A08FB">
        <w:rPr>
          <w:rFonts w:ascii="Cambria" w:hAnsi="Cambria"/>
          <w:lang w:val="sv-SE"/>
        </w:rPr>
        <w:t xml:space="preserve">över tid </w:t>
      </w:r>
      <w:r w:rsidR="00D93DE6">
        <w:rPr>
          <w:rFonts w:ascii="Cambria" w:hAnsi="Cambria"/>
          <w:lang w:val="sv-SE"/>
        </w:rPr>
        <w:t xml:space="preserve">har </w:t>
      </w:r>
      <w:r w:rsidR="00603792">
        <w:rPr>
          <w:rFonts w:ascii="Cambria" w:hAnsi="Cambria"/>
          <w:lang w:val="sv-SE"/>
        </w:rPr>
        <w:t xml:space="preserve">de </w:t>
      </w:r>
      <w:r w:rsidR="002A592C">
        <w:rPr>
          <w:rFonts w:ascii="Cambria" w:hAnsi="Cambria"/>
          <w:lang w:val="sv-SE"/>
        </w:rPr>
        <w:t xml:space="preserve">i stället </w:t>
      </w:r>
      <w:r w:rsidR="00603792">
        <w:rPr>
          <w:rFonts w:ascii="Cambria" w:hAnsi="Cambria"/>
          <w:lang w:val="sv-SE"/>
        </w:rPr>
        <w:t>försämrats</w:t>
      </w:r>
      <w:r w:rsidR="00674E01">
        <w:rPr>
          <w:rFonts w:ascii="Cambria" w:hAnsi="Cambria"/>
          <w:lang w:val="sv-SE"/>
        </w:rPr>
        <w:t xml:space="preserve"> </w:t>
      </w:r>
      <w:r w:rsidR="00D93DE6">
        <w:rPr>
          <w:rFonts w:ascii="Cambria" w:hAnsi="Cambria"/>
          <w:lang w:val="sv-SE"/>
        </w:rPr>
        <w:t xml:space="preserve">markant </w:t>
      </w:r>
      <w:r w:rsidR="00674E01">
        <w:rPr>
          <w:rFonts w:ascii="Cambria" w:hAnsi="Cambria"/>
          <w:lang w:val="sv-SE"/>
        </w:rPr>
        <w:t>i resten av landet.</w:t>
      </w:r>
      <w:r w:rsidR="005A08FB">
        <w:rPr>
          <w:rFonts w:ascii="Cambria" w:hAnsi="Cambria"/>
          <w:lang w:val="sv-SE"/>
        </w:rPr>
        <w:t xml:space="preserve"> Medan snittet för resten av landet vad gäller andelen första besök som genomförs inom 90 dagar faller från 84 procent till 71 procent mellan 2013 och 2023 har Stockholm (med undantag för 2014) upprätthållit en andel på över 90 procent sedan vårdvalet infördes i november 2011. År 2023 var andelen 97 procent, 6 procentenheter högre än under kvartalen innan vårdvalet genomfördes.</w:t>
      </w:r>
      <w:r w:rsidR="006E7710">
        <w:rPr>
          <w:rFonts w:ascii="Cambria" w:hAnsi="Cambria"/>
          <w:lang w:val="sv-SE"/>
        </w:rPr>
        <w:t xml:space="preserve"> Det skiljer idag </w:t>
      </w:r>
      <w:r w:rsidR="00617A70">
        <w:rPr>
          <w:rFonts w:ascii="Cambria" w:hAnsi="Cambria"/>
          <w:lang w:val="sv-SE"/>
        </w:rPr>
        <w:t xml:space="preserve">hela </w:t>
      </w:r>
      <w:r w:rsidR="006E7710">
        <w:rPr>
          <w:rFonts w:ascii="Cambria" w:hAnsi="Cambria"/>
          <w:lang w:val="sv-SE"/>
        </w:rPr>
        <w:t>28 procentenheter mellan Stockholm och övriga landet i snit</w:t>
      </w:r>
      <w:r w:rsidR="008043D5">
        <w:rPr>
          <w:rFonts w:ascii="Cambria" w:hAnsi="Cambria"/>
          <w:lang w:val="sv-SE"/>
        </w:rPr>
        <w:t>t</w:t>
      </w:r>
      <w:r w:rsidR="00A17DCB">
        <w:rPr>
          <w:rFonts w:ascii="Cambria" w:hAnsi="Cambria"/>
          <w:lang w:val="sv-SE"/>
        </w:rPr>
        <w:t xml:space="preserve">; </w:t>
      </w:r>
      <w:r w:rsidR="006E7710">
        <w:rPr>
          <w:rFonts w:ascii="Cambria" w:hAnsi="Cambria"/>
          <w:lang w:val="sv-SE"/>
        </w:rPr>
        <w:t>Stockholm har 39 procent högre uppfyllelse av vårdgarantin i denna bemärkelse.</w:t>
      </w:r>
    </w:p>
    <w:p w14:paraId="0BDAD2D4" w14:textId="77777777" w:rsidR="00022269" w:rsidRDefault="00022269" w:rsidP="00605FD8">
      <w:pPr>
        <w:jc w:val="both"/>
        <w:rPr>
          <w:rFonts w:asciiTheme="minorHAnsi" w:hAnsiTheme="minorHAnsi"/>
          <w:lang w:val="sv-SE"/>
        </w:rPr>
      </w:pPr>
    </w:p>
    <w:p w14:paraId="032989A2" w14:textId="2DF25C4E" w:rsidR="005A08FB" w:rsidRPr="005A08FB" w:rsidRDefault="005A08FB" w:rsidP="00605FD8">
      <w:pPr>
        <w:jc w:val="both"/>
        <w:rPr>
          <w:rFonts w:ascii="Cambria" w:hAnsi="Cambria"/>
          <w:lang w:val="sv-SE"/>
        </w:rPr>
      </w:pPr>
      <w:r>
        <w:rPr>
          <w:rFonts w:ascii="Cambria" w:hAnsi="Cambria"/>
          <w:lang w:val="sv-SE"/>
        </w:rPr>
        <w:t xml:space="preserve">Andelen första besök som genomförts inom 90 dagar är ett </w:t>
      </w:r>
      <w:r w:rsidR="00A17DCB">
        <w:rPr>
          <w:rFonts w:ascii="Cambria" w:hAnsi="Cambria"/>
          <w:lang w:val="sv-SE"/>
        </w:rPr>
        <w:t xml:space="preserve">relevant </w:t>
      </w:r>
      <w:r>
        <w:rPr>
          <w:rFonts w:ascii="Cambria" w:hAnsi="Cambria"/>
          <w:lang w:val="sv-SE"/>
        </w:rPr>
        <w:t xml:space="preserve">mått </w:t>
      </w:r>
      <w:r w:rsidR="00A17DCB">
        <w:rPr>
          <w:rFonts w:ascii="Cambria" w:hAnsi="Cambria"/>
          <w:lang w:val="sv-SE"/>
        </w:rPr>
        <w:t xml:space="preserve">för att förstå </w:t>
      </w:r>
      <w:r>
        <w:rPr>
          <w:rFonts w:ascii="Cambria" w:hAnsi="Cambria"/>
          <w:lang w:val="sv-SE"/>
        </w:rPr>
        <w:t xml:space="preserve">i vilken utsträckning </w:t>
      </w:r>
      <w:r w:rsidR="00A17DCB">
        <w:rPr>
          <w:rFonts w:ascii="Cambria" w:hAnsi="Cambria"/>
          <w:lang w:val="sv-SE"/>
        </w:rPr>
        <w:t xml:space="preserve">den nationella </w:t>
      </w:r>
      <w:r>
        <w:rPr>
          <w:rFonts w:ascii="Cambria" w:hAnsi="Cambria"/>
          <w:lang w:val="sv-SE"/>
        </w:rPr>
        <w:t xml:space="preserve">vårdgarantin tillgodoses, men </w:t>
      </w:r>
      <w:r w:rsidR="00617A70">
        <w:rPr>
          <w:rFonts w:ascii="Cambria" w:hAnsi="Cambria"/>
          <w:lang w:val="sv-SE"/>
        </w:rPr>
        <w:t xml:space="preserve">måttet </w:t>
      </w:r>
      <w:r>
        <w:rPr>
          <w:rFonts w:ascii="Cambria" w:hAnsi="Cambria"/>
          <w:lang w:val="sv-SE"/>
        </w:rPr>
        <w:t xml:space="preserve">är förhållandevis trubbigt då det inte fångar upp skillnader i väntetider inom och efter 90 dagar. För att studera faktiska väntetider närmare jämför vi därför även medelvärdet för väntetiderna i dagar till första kontakt med specialistläkare (väntetider i dagar/antalet individer) i Stockholm och </w:t>
      </w:r>
      <w:r w:rsidR="008043D5">
        <w:rPr>
          <w:rFonts w:ascii="Cambria" w:hAnsi="Cambria"/>
          <w:lang w:val="sv-SE"/>
        </w:rPr>
        <w:t xml:space="preserve">i </w:t>
      </w:r>
      <w:r>
        <w:rPr>
          <w:rFonts w:ascii="Cambria" w:hAnsi="Cambria"/>
          <w:lang w:val="sv-SE"/>
        </w:rPr>
        <w:t>övriga landet. Dessa data finns enbart tillgängliga tillbaka till januari 2021 (SKR 2024</w:t>
      </w:r>
      <w:r w:rsidR="0070299F">
        <w:rPr>
          <w:rFonts w:ascii="Cambria" w:hAnsi="Cambria"/>
          <w:lang w:val="sv-SE"/>
        </w:rPr>
        <w:t>e</w:t>
      </w:r>
      <w:r>
        <w:rPr>
          <w:rFonts w:ascii="Cambria" w:hAnsi="Cambria"/>
          <w:lang w:val="sv-SE"/>
        </w:rPr>
        <w:t xml:space="preserve">). Och som figur </w:t>
      </w:r>
      <w:r w:rsidR="00140434">
        <w:rPr>
          <w:rFonts w:ascii="Cambria" w:hAnsi="Cambria"/>
          <w:lang w:val="sv-SE"/>
        </w:rPr>
        <w:t>6</w:t>
      </w:r>
      <w:r>
        <w:rPr>
          <w:rFonts w:ascii="Cambria" w:hAnsi="Cambria"/>
          <w:lang w:val="sv-SE"/>
        </w:rPr>
        <w:t xml:space="preserve"> visar har väntetiderna inom ögonsjukvården i detta hänseende varit avsevärt lägre i Stockholm än i övriga landet under de senaste tre åren.</w:t>
      </w:r>
    </w:p>
    <w:p w14:paraId="65D4C394" w14:textId="77777777" w:rsidR="00036DD7" w:rsidRPr="00B22C13" w:rsidRDefault="00036DD7" w:rsidP="00605FD8">
      <w:pPr>
        <w:jc w:val="both"/>
        <w:rPr>
          <w:rFonts w:asciiTheme="minorHAnsi" w:hAnsiTheme="minorHAnsi"/>
          <w:lang w:val="sv-SE"/>
        </w:rPr>
      </w:pPr>
    </w:p>
    <w:p w14:paraId="4CFFC95E" w14:textId="17067642" w:rsidR="0064359E" w:rsidRDefault="009C482E" w:rsidP="005D47D0">
      <w:pPr>
        <w:jc w:val="both"/>
        <w:rPr>
          <w:rFonts w:ascii="Cambria" w:hAnsi="Cambria"/>
          <w:lang w:val="sv-SE"/>
        </w:rPr>
      </w:pPr>
      <w:r>
        <w:rPr>
          <w:rFonts w:asciiTheme="minorHAnsi" w:hAnsiTheme="minorHAnsi"/>
          <w:noProof/>
          <w:lang w:val="sv-SE"/>
        </w:rPr>
        <w:drawing>
          <wp:inline distT="0" distB="0" distL="0" distR="0" wp14:anchorId="6DF38EC7" wp14:editId="056B10BA">
            <wp:extent cx="5727700" cy="3937635"/>
            <wp:effectExtent l="0" t="0" r="6350" b="5715"/>
            <wp:docPr id="91474635" name="Chart 914746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F1A81E" w14:textId="77777777" w:rsidR="0064359E" w:rsidRDefault="0064359E" w:rsidP="005D47D0">
      <w:pPr>
        <w:jc w:val="both"/>
        <w:rPr>
          <w:rFonts w:ascii="Cambria" w:hAnsi="Cambria"/>
          <w:lang w:val="sv-SE"/>
        </w:rPr>
      </w:pPr>
    </w:p>
    <w:p w14:paraId="4DD812EF" w14:textId="77777777" w:rsidR="00227845" w:rsidRDefault="00227845" w:rsidP="005D47D0">
      <w:pPr>
        <w:jc w:val="both"/>
        <w:rPr>
          <w:rFonts w:ascii="Cambria" w:hAnsi="Cambria"/>
          <w:lang w:val="sv-SE"/>
        </w:rPr>
      </w:pPr>
    </w:p>
    <w:p w14:paraId="7B4FE739" w14:textId="77777777" w:rsidR="003E30D6" w:rsidRDefault="003E30D6" w:rsidP="005D47D0">
      <w:pPr>
        <w:jc w:val="both"/>
        <w:rPr>
          <w:rFonts w:ascii="Cambria" w:hAnsi="Cambria"/>
          <w:lang w:val="sv-SE"/>
        </w:rPr>
      </w:pPr>
    </w:p>
    <w:p w14:paraId="609967D1" w14:textId="46AEBF07" w:rsidR="00002FE7" w:rsidRDefault="00770BD1" w:rsidP="005D47D0">
      <w:pPr>
        <w:jc w:val="both"/>
        <w:rPr>
          <w:rFonts w:ascii="Cambria" w:hAnsi="Cambria"/>
          <w:lang w:val="sv-SE"/>
        </w:rPr>
      </w:pPr>
      <w:r>
        <w:rPr>
          <w:rFonts w:asciiTheme="minorHAnsi" w:hAnsiTheme="minorHAnsi"/>
          <w:noProof/>
          <w:lang w:val="sv-SE"/>
        </w:rPr>
        <w:lastRenderedPageBreak/>
        <w:drawing>
          <wp:inline distT="0" distB="0" distL="0" distR="0" wp14:anchorId="38E35273" wp14:editId="45CBE77D">
            <wp:extent cx="5727700" cy="3937635"/>
            <wp:effectExtent l="0" t="0" r="6350" b="5715"/>
            <wp:docPr id="226279142" name="Chart 226279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658B651" w14:textId="77777777" w:rsidR="001C4CB3" w:rsidRDefault="001C4CB3" w:rsidP="005D47D0">
      <w:pPr>
        <w:jc w:val="both"/>
        <w:rPr>
          <w:rFonts w:ascii="Cambria" w:hAnsi="Cambria"/>
          <w:lang w:val="sv-SE"/>
        </w:rPr>
      </w:pPr>
    </w:p>
    <w:p w14:paraId="4F13CBF7" w14:textId="77777777" w:rsidR="007C11D7" w:rsidRDefault="007C11D7" w:rsidP="005D47D0">
      <w:pPr>
        <w:jc w:val="both"/>
        <w:rPr>
          <w:rFonts w:ascii="Cambria" w:hAnsi="Cambria"/>
          <w:lang w:val="sv-SE"/>
        </w:rPr>
      </w:pPr>
    </w:p>
    <w:p w14:paraId="61D7AC6F" w14:textId="7E423D94" w:rsidR="001C4CB3" w:rsidRDefault="00E6279E" w:rsidP="005D47D0">
      <w:pPr>
        <w:jc w:val="both"/>
        <w:rPr>
          <w:rFonts w:ascii="Cambria" w:hAnsi="Cambria"/>
          <w:lang w:val="sv-SE"/>
        </w:rPr>
      </w:pPr>
      <w:r>
        <w:rPr>
          <w:rFonts w:ascii="Cambria" w:hAnsi="Cambria"/>
          <w:lang w:val="sv-SE"/>
        </w:rPr>
        <w:t>Det är svårt att veta i</w:t>
      </w:r>
      <w:r w:rsidR="00603792">
        <w:rPr>
          <w:rFonts w:ascii="Cambria" w:hAnsi="Cambria"/>
          <w:lang w:val="sv-SE"/>
        </w:rPr>
        <w:t xml:space="preserve"> vilken utsträckning </w:t>
      </w:r>
      <w:r w:rsidR="00CA48CE">
        <w:rPr>
          <w:rFonts w:ascii="Cambria" w:hAnsi="Cambria"/>
          <w:lang w:val="sv-SE"/>
        </w:rPr>
        <w:t>detta</w:t>
      </w:r>
      <w:r w:rsidR="003E30D6">
        <w:rPr>
          <w:rFonts w:ascii="Cambria" w:hAnsi="Cambria"/>
          <w:lang w:val="sv-SE"/>
        </w:rPr>
        <w:t xml:space="preserve"> </w:t>
      </w:r>
      <w:r w:rsidR="00603792">
        <w:rPr>
          <w:rFonts w:ascii="Cambria" w:hAnsi="Cambria"/>
          <w:lang w:val="sv-SE"/>
        </w:rPr>
        <w:t xml:space="preserve">beror på vårdvalet, då </w:t>
      </w:r>
      <w:r>
        <w:rPr>
          <w:rFonts w:ascii="Cambria" w:hAnsi="Cambria"/>
          <w:lang w:val="sv-SE"/>
        </w:rPr>
        <w:t>datamaterialet</w:t>
      </w:r>
      <w:r w:rsidR="00603792">
        <w:rPr>
          <w:rFonts w:ascii="Cambria" w:hAnsi="Cambria"/>
          <w:lang w:val="sv-SE"/>
        </w:rPr>
        <w:t xml:space="preserve"> inte är tillräcklig</w:t>
      </w:r>
      <w:r>
        <w:rPr>
          <w:rFonts w:ascii="Cambria" w:hAnsi="Cambria"/>
          <w:lang w:val="sv-SE"/>
        </w:rPr>
        <w:t>t</w:t>
      </w:r>
      <w:r w:rsidR="00603792">
        <w:rPr>
          <w:rFonts w:ascii="Cambria" w:hAnsi="Cambria"/>
          <w:lang w:val="sv-SE"/>
        </w:rPr>
        <w:t xml:space="preserve"> för att dra slutsatser </w:t>
      </w:r>
      <w:r w:rsidR="00A50E24">
        <w:rPr>
          <w:rFonts w:ascii="Cambria" w:hAnsi="Cambria"/>
          <w:lang w:val="sv-SE"/>
        </w:rPr>
        <w:t>i detta hänseende</w:t>
      </w:r>
      <w:r w:rsidR="00603792">
        <w:rPr>
          <w:rFonts w:ascii="Cambria" w:hAnsi="Cambria"/>
          <w:lang w:val="sv-SE"/>
        </w:rPr>
        <w:t xml:space="preserve">. Men det råder ingen tvekan om att Stockholm </w:t>
      </w:r>
      <w:r>
        <w:rPr>
          <w:rFonts w:ascii="Cambria" w:hAnsi="Cambria"/>
          <w:lang w:val="sv-SE"/>
        </w:rPr>
        <w:t>har</w:t>
      </w:r>
      <w:r w:rsidR="00603792">
        <w:rPr>
          <w:rFonts w:ascii="Cambria" w:hAnsi="Cambria"/>
          <w:lang w:val="sv-SE"/>
        </w:rPr>
        <w:t xml:space="preserve"> lyckats</w:t>
      </w:r>
      <w:r w:rsidR="00CA48CE">
        <w:rPr>
          <w:rFonts w:ascii="Cambria" w:hAnsi="Cambria"/>
          <w:lang w:val="sv-SE"/>
        </w:rPr>
        <w:t xml:space="preserve"> bättre</w:t>
      </w:r>
      <w:r w:rsidR="00E50F2C">
        <w:rPr>
          <w:rFonts w:ascii="Cambria" w:hAnsi="Cambria"/>
          <w:lang w:val="sv-SE"/>
        </w:rPr>
        <w:t xml:space="preserve"> </w:t>
      </w:r>
      <w:r w:rsidR="00E2397B">
        <w:rPr>
          <w:rFonts w:ascii="Cambria" w:hAnsi="Cambria"/>
          <w:lang w:val="sv-SE"/>
        </w:rPr>
        <w:t xml:space="preserve">än </w:t>
      </w:r>
      <w:r w:rsidR="00E50F2C">
        <w:rPr>
          <w:rFonts w:ascii="Cambria" w:hAnsi="Cambria"/>
          <w:lang w:val="sv-SE"/>
        </w:rPr>
        <w:t>resten av landet</w:t>
      </w:r>
      <w:r w:rsidR="00603792">
        <w:rPr>
          <w:rFonts w:ascii="Cambria" w:hAnsi="Cambria"/>
          <w:lang w:val="sv-SE"/>
        </w:rPr>
        <w:t xml:space="preserve"> </w:t>
      </w:r>
      <w:r>
        <w:rPr>
          <w:rFonts w:ascii="Cambria" w:hAnsi="Cambria"/>
          <w:lang w:val="sv-SE"/>
        </w:rPr>
        <w:t>med att upprätthålla</w:t>
      </w:r>
      <w:r w:rsidR="000F376F">
        <w:rPr>
          <w:rFonts w:ascii="Cambria" w:hAnsi="Cambria"/>
          <w:lang w:val="sv-SE"/>
        </w:rPr>
        <w:t xml:space="preserve"> </w:t>
      </w:r>
      <w:r w:rsidR="003E30D6">
        <w:rPr>
          <w:rFonts w:ascii="Cambria" w:hAnsi="Cambria"/>
          <w:lang w:val="sv-SE"/>
        </w:rPr>
        <w:t xml:space="preserve">vårdgarantin </w:t>
      </w:r>
      <w:r w:rsidR="00421BC4">
        <w:rPr>
          <w:rFonts w:ascii="Cambria" w:hAnsi="Cambria"/>
          <w:lang w:val="sv-SE"/>
        </w:rPr>
        <w:t>sedan vårdvalet</w:t>
      </w:r>
      <w:r w:rsidR="001C4CB3">
        <w:rPr>
          <w:rFonts w:ascii="Cambria" w:hAnsi="Cambria"/>
          <w:lang w:val="sv-SE"/>
        </w:rPr>
        <w:t xml:space="preserve"> </w:t>
      </w:r>
      <w:r w:rsidR="00421BC4">
        <w:rPr>
          <w:rFonts w:ascii="Cambria" w:hAnsi="Cambria"/>
          <w:lang w:val="sv-SE"/>
        </w:rPr>
        <w:t>infördes</w:t>
      </w:r>
      <w:r w:rsidR="003E30D6">
        <w:rPr>
          <w:rFonts w:ascii="Cambria" w:hAnsi="Cambria"/>
          <w:lang w:val="sv-SE"/>
        </w:rPr>
        <w:t xml:space="preserve">. </w:t>
      </w:r>
      <w:r w:rsidR="001C4CB3">
        <w:rPr>
          <w:rFonts w:ascii="Cambria" w:hAnsi="Cambria"/>
          <w:lang w:val="sv-SE"/>
        </w:rPr>
        <w:t xml:space="preserve">Likaså </w:t>
      </w:r>
      <w:r w:rsidR="00E2397B">
        <w:rPr>
          <w:rFonts w:ascii="Cambria" w:hAnsi="Cambria"/>
          <w:lang w:val="sv-SE"/>
        </w:rPr>
        <w:t xml:space="preserve">lyckas Stockholm </w:t>
      </w:r>
      <w:r w:rsidR="001C4CB3">
        <w:rPr>
          <w:rFonts w:ascii="Cambria" w:hAnsi="Cambria"/>
          <w:lang w:val="sv-SE"/>
        </w:rPr>
        <w:t>upprätthålla mycket kortare genomsnittliga väntetider.</w:t>
      </w:r>
    </w:p>
    <w:p w14:paraId="39742789" w14:textId="77777777" w:rsidR="001C4CB3" w:rsidRDefault="001C4CB3" w:rsidP="005D47D0">
      <w:pPr>
        <w:jc w:val="both"/>
        <w:rPr>
          <w:rFonts w:ascii="Cambria" w:hAnsi="Cambria"/>
          <w:lang w:val="sv-SE"/>
        </w:rPr>
      </w:pPr>
    </w:p>
    <w:p w14:paraId="14DABAA4" w14:textId="4D12D09F" w:rsidR="001C523D" w:rsidRDefault="00E2397B" w:rsidP="005D47D0">
      <w:pPr>
        <w:jc w:val="both"/>
        <w:rPr>
          <w:rFonts w:ascii="Cambria" w:hAnsi="Cambria"/>
          <w:lang w:val="sv-SE"/>
        </w:rPr>
      </w:pPr>
      <w:r>
        <w:rPr>
          <w:rFonts w:ascii="Cambria" w:hAnsi="Cambria"/>
          <w:lang w:val="sv-SE"/>
        </w:rPr>
        <w:t>Som vi</w:t>
      </w:r>
      <w:r w:rsidR="003E30D6">
        <w:rPr>
          <w:rFonts w:ascii="Cambria" w:hAnsi="Cambria"/>
          <w:lang w:val="sv-SE"/>
        </w:rPr>
        <w:t xml:space="preserve"> visade i figur 1 </w:t>
      </w:r>
      <w:r>
        <w:rPr>
          <w:rFonts w:ascii="Cambria" w:hAnsi="Cambria"/>
          <w:lang w:val="sv-SE"/>
        </w:rPr>
        <w:t>ökar</w:t>
      </w:r>
      <w:r w:rsidR="001C523D">
        <w:rPr>
          <w:rFonts w:ascii="Cambria" w:hAnsi="Cambria"/>
          <w:lang w:val="sv-SE"/>
        </w:rPr>
        <w:t xml:space="preserve"> vårdvolymerna </w:t>
      </w:r>
      <w:r>
        <w:rPr>
          <w:rFonts w:ascii="Cambria" w:hAnsi="Cambria"/>
          <w:lang w:val="sv-SE"/>
        </w:rPr>
        <w:t xml:space="preserve">markant </w:t>
      </w:r>
      <w:r w:rsidR="001C523D">
        <w:rPr>
          <w:rFonts w:ascii="Cambria" w:hAnsi="Cambria"/>
          <w:lang w:val="sv-SE"/>
        </w:rPr>
        <w:t>i Stockholm mellan 2011 och 2013</w:t>
      </w:r>
      <w:r w:rsidR="00754343">
        <w:rPr>
          <w:rFonts w:ascii="Cambria" w:hAnsi="Cambria"/>
          <w:lang w:val="sv-SE"/>
        </w:rPr>
        <w:t xml:space="preserve">, </w:t>
      </w:r>
      <w:r>
        <w:rPr>
          <w:rFonts w:ascii="Cambria" w:hAnsi="Cambria"/>
          <w:lang w:val="sv-SE"/>
        </w:rPr>
        <w:t xml:space="preserve">för att </w:t>
      </w:r>
      <w:r w:rsidR="001C523D">
        <w:rPr>
          <w:rFonts w:ascii="Cambria" w:hAnsi="Cambria"/>
          <w:lang w:val="sv-SE"/>
        </w:rPr>
        <w:t xml:space="preserve">sedan </w:t>
      </w:r>
      <w:r w:rsidR="00754343">
        <w:rPr>
          <w:rFonts w:ascii="Cambria" w:hAnsi="Cambria"/>
          <w:lang w:val="sv-SE"/>
        </w:rPr>
        <w:t>stabiliseras</w:t>
      </w:r>
      <w:r w:rsidR="001C523D">
        <w:rPr>
          <w:rFonts w:ascii="Cambria" w:hAnsi="Cambria"/>
          <w:lang w:val="sv-SE"/>
        </w:rPr>
        <w:t xml:space="preserve"> på </w:t>
      </w:r>
      <w:r>
        <w:rPr>
          <w:rFonts w:ascii="Cambria" w:hAnsi="Cambria"/>
          <w:lang w:val="sv-SE"/>
        </w:rPr>
        <w:t xml:space="preserve">en högre </w:t>
      </w:r>
      <w:r w:rsidR="001C523D">
        <w:rPr>
          <w:rFonts w:ascii="Cambria" w:hAnsi="Cambria"/>
          <w:lang w:val="sv-SE"/>
        </w:rPr>
        <w:t xml:space="preserve">nivå under </w:t>
      </w:r>
      <w:r w:rsidR="008043D5">
        <w:rPr>
          <w:rFonts w:ascii="Cambria" w:hAnsi="Cambria"/>
          <w:lang w:val="sv-SE"/>
        </w:rPr>
        <w:t>decenniet efteråt</w:t>
      </w:r>
      <w:r w:rsidR="00754343">
        <w:rPr>
          <w:rFonts w:ascii="Cambria" w:hAnsi="Cambria"/>
          <w:lang w:val="sv-SE"/>
        </w:rPr>
        <w:t>. V</w:t>
      </w:r>
      <w:r w:rsidR="003E30D6">
        <w:rPr>
          <w:rFonts w:ascii="Cambria" w:hAnsi="Cambria"/>
          <w:lang w:val="sv-SE"/>
        </w:rPr>
        <w:t>årdvolymerna i resten av landet</w:t>
      </w:r>
      <w:r w:rsidR="00754343">
        <w:rPr>
          <w:rFonts w:ascii="Cambria" w:hAnsi="Cambria"/>
          <w:lang w:val="sv-SE"/>
        </w:rPr>
        <w:t xml:space="preserve"> har</w:t>
      </w:r>
      <w:r w:rsidR="008043D5">
        <w:rPr>
          <w:rFonts w:ascii="Cambria" w:hAnsi="Cambria"/>
          <w:lang w:val="sv-SE"/>
        </w:rPr>
        <w:t xml:space="preserve"> i stället</w:t>
      </w:r>
      <w:r w:rsidR="00754343">
        <w:rPr>
          <w:rFonts w:ascii="Cambria" w:hAnsi="Cambria"/>
          <w:lang w:val="sv-SE"/>
        </w:rPr>
        <w:t xml:space="preserve"> legat på ungefär samma nivå under hela perioden</w:t>
      </w:r>
      <w:r w:rsidR="003E30D6">
        <w:rPr>
          <w:rFonts w:ascii="Cambria" w:hAnsi="Cambria"/>
          <w:lang w:val="sv-SE"/>
        </w:rPr>
        <w:t>.</w:t>
      </w:r>
      <w:r w:rsidR="00E6279E">
        <w:rPr>
          <w:rFonts w:ascii="Cambria" w:hAnsi="Cambria"/>
          <w:lang w:val="sv-SE"/>
        </w:rPr>
        <w:t xml:space="preserve"> Det är </w:t>
      </w:r>
      <w:r w:rsidR="00A42604">
        <w:rPr>
          <w:rFonts w:ascii="Cambria" w:hAnsi="Cambria"/>
          <w:lang w:val="sv-SE"/>
        </w:rPr>
        <w:t xml:space="preserve">därför </w:t>
      </w:r>
      <w:r w:rsidR="00E6279E">
        <w:rPr>
          <w:rFonts w:ascii="Cambria" w:hAnsi="Cambria"/>
          <w:lang w:val="sv-SE"/>
        </w:rPr>
        <w:t xml:space="preserve">inte orimligt att anta att Stockholms vårdköer </w:t>
      </w:r>
      <w:r w:rsidR="006B192F">
        <w:rPr>
          <w:rFonts w:ascii="Cambria" w:hAnsi="Cambria"/>
          <w:lang w:val="sv-SE"/>
        </w:rPr>
        <w:t xml:space="preserve">inom ögonsjukvården </w:t>
      </w:r>
      <w:r w:rsidR="00E6279E">
        <w:rPr>
          <w:rFonts w:ascii="Cambria" w:hAnsi="Cambria"/>
          <w:lang w:val="sv-SE"/>
        </w:rPr>
        <w:t xml:space="preserve">hade utvecklats mer i linje med </w:t>
      </w:r>
      <w:r>
        <w:rPr>
          <w:rFonts w:ascii="Cambria" w:hAnsi="Cambria"/>
          <w:lang w:val="sv-SE"/>
        </w:rPr>
        <w:t xml:space="preserve">köerna </w:t>
      </w:r>
      <w:r w:rsidR="00E6279E">
        <w:rPr>
          <w:rFonts w:ascii="Cambria" w:hAnsi="Cambria"/>
          <w:lang w:val="sv-SE"/>
        </w:rPr>
        <w:t xml:space="preserve">i resten av landet om </w:t>
      </w:r>
      <w:r>
        <w:rPr>
          <w:rFonts w:ascii="Cambria" w:hAnsi="Cambria"/>
          <w:lang w:val="sv-SE"/>
        </w:rPr>
        <w:t xml:space="preserve">Stockholms </w:t>
      </w:r>
      <w:r w:rsidR="0026586D">
        <w:rPr>
          <w:rFonts w:ascii="Cambria" w:hAnsi="Cambria"/>
          <w:lang w:val="sv-SE"/>
        </w:rPr>
        <w:t xml:space="preserve">vårdvolymer </w:t>
      </w:r>
      <w:r>
        <w:rPr>
          <w:rFonts w:ascii="Cambria" w:hAnsi="Cambria"/>
          <w:lang w:val="sv-SE"/>
        </w:rPr>
        <w:t xml:space="preserve">skulle ha legat kvar </w:t>
      </w:r>
      <w:r w:rsidR="0026586D">
        <w:rPr>
          <w:rFonts w:ascii="Cambria" w:hAnsi="Cambria"/>
          <w:lang w:val="sv-SE"/>
        </w:rPr>
        <w:t>på samma nivåer som innan vårdvalet infördes.</w:t>
      </w:r>
      <w:r w:rsidR="00754343">
        <w:rPr>
          <w:rFonts w:ascii="Cambria" w:hAnsi="Cambria"/>
          <w:lang w:val="sv-SE"/>
        </w:rPr>
        <w:t xml:space="preserve"> I den må</w:t>
      </w:r>
      <w:r w:rsidR="00FB4757">
        <w:rPr>
          <w:rFonts w:ascii="Cambria" w:hAnsi="Cambria"/>
          <w:lang w:val="sv-SE"/>
        </w:rPr>
        <w:t>n</w:t>
      </w:r>
      <w:r w:rsidR="00754343">
        <w:rPr>
          <w:rFonts w:ascii="Cambria" w:hAnsi="Cambria"/>
          <w:lang w:val="sv-SE"/>
        </w:rPr>
        <w:t xml:space="preserve"> vårdvalet </w:t>
      </w:r>
      <w:r w:rsidR="006B192F">
        <w:rPr>
          <w:rFonts w:ascii="Cambria" w:hAnsi="Cambria"/>
          <w:lang w:val="sv-SE"/>
        </w:rPr>
        <w:t>låg bakom</w:t>
      </w:r>
      <w:r w:rsidR="00754343">
        <w:rPr>
          <w:rFonts w:ascii="Cambria" w:hAnsi="Cambria"/>
          <w:lang w:val="sv-SE"/>
        </w:rPr>
        <w:t xml:space="preserve"> </w:t>
      </w:r>
      <w:r w:rsidR="009C6991">
        <w:rPr>
          <w:rFonts w:ascii="Cambria" w:hAnsi="Cambria"/>
          <w:lang w:val="sv-SE"/>
        </w:rPr>
        <w:t>ökningen i volymer</w:t>
      </w:r>
      <w:r w:rsidR="00754343">
        <w:rPr>
          <w:rFonts w:ascii="Cambria" w:hAnsi="Cambria"/>
          <w:lang w:val="sv-SE"/>
        </w:rPr>
        <w:t xml:space="preserve"> mellan 2011 och 2013 är det därför också rimligt att anta att det har spelat en roll för Stockholms relativt korta vårdköer.</w:t>
      </w:r>
    </w:p>
    <w:p w14:paraId="201DCC2D" w14:textId="77777777" w:rsidR="001C523D" w:rsidRDefault="001C523D" w:rsidP="005D47D0">
      <w:pPr>
        <w:jc w:val="both"/>
        <w:rPr>
          <w:rFonts w:ascii="Cambria" w:hAnsi="Cambria"/>
          <w:lang w:val="sv-SE"/>
        </w:rPr>
      </w:pPr>
    </w:p>
    <w:p w14:paraId="4598DF98" w14:textId="26584682" w:rsidR="00227845" w:rsidRPr="00A50E24" w:rsidRDefault="003E30D6" w:rsidP="005D47D0">
      <w:pPr>
        <w:jc w:val="both"/>
        <w:rPr>
          <w:rFonts w:ascii="Cambria" w:hAnsi="Cambria"/>
          <w:lang w:val="sv-SE"/>
        </w:rPr>
      </w:pPr>
      <w:r>
        <w:rPr>
          <w:rFonts w:ascii="Cambria" w:hAnsi="Cambria"/>
          <w:lang w:val="sv-SE"/>
        </w:rPr>
        <w:t xml:space="preserve">Men trots detta har </w:t>
      </w:r>
      <w:r w:rsidR="00617A70">
        <w:rPr>
          <w:rFonts w:ascii="Cambria" w:hAnsi="Cambria"/>
          <w:lang w:val="sv-SE"/>
        </w:rPr>
        <w:t>Region Stockholm</w:t>
      </w:r>
      <w:r>
        <w:rPr>
          <w:rFonts w:ascii="Cambria" w:hAnsi="Cambria"/>
          <w:lang w:val="sv-SE"/>
        </w:rPr>
        <w:t xml:space="preserve"> inte analyserat implikationerna av att avskaffa vårdvalet </w:t>
      </w:r>
      <w:r w:rsidR="00D731B1">
        <w:rPr>
          <w:rFonts w:ascii="Cambria" w:hAnsi="Cambria"/>
          <w:lang w:val="sv-SE"/>
        </w:rPr>
        <w:t>för</w:t>
      </w:r>
      <w:r>
        <w:rPr>
          <w:rFonts w:ascii="Cambria" w:hAnsi="Cambria"/>
          <w:lang w:val="sv-SE"/>
        </w:rPr>
        <w:t xml:space="preserve"> möjligheterna att tillgodose vårdgarantin</w:t>
      </w:r>
      <w:r w:rsidR="002E4C90">
        <w:rPr>
          <w:rFonts w:ascii="Cambria" w:hAnsi="Cambria"/>
          <w:lang w:val="sv-SE"/>
        </w:rPr>
        <w:t xml:space="preserve"> inom ögonsjukvården</w:t>
      </w:r>
      <w:r>
        <w:rPr>
          <w:rFonts w:ascii="Cambria" w:hAnsi="Cambria"/>
          <w:lang w:val="sv-SE"/>
        </w:rPr>
        <w:t>.</w:t>
      </w:r>
      <w:r w:rsidR="0026586D">
        <w:rPr>
          <w:rFonts w:ascii="Cambria" w:hAnsi="Cambria"/>
          <w:lang w:val="sv-SE"/>
        </w:rPr>
        <w:t xml:space="preserve"> </w:t>
      </w:r>
      <w:r w:rsidR="002E4C90">
        <w:rPr>
          <w:rFonts w:ascii="Cambria" w:hAnsi="Cambria"/>
          <w:lang w:val="sv-SE"/>
        </w:rPr>
        <w:t>E</w:t>
      </w:r>
      <w:r w:rsidR="0026586D">
        <w:rPr>
          <w:rFonts w:ascii="Cambria" w:hAnsi="Cambria"/>
          <w:lang w:val="sv-SE"/>
        </w:rPr>
        <w:t xml:space="preserve">n av de viktigaste motiveringarna bakom </w:t>
      </w:r>
      <w:r w:rsidR="002E4C90">
        <w:rPr>
          <w:rFonts w:ascii="Cambria" w:hAnsi="Cambria"/>
          <w:lang w:val="sv-SE"/>
        </w:rPr>
        <w:t>avskaffandet av vårdvalet är kostnadskontroll –</w:t>
      </w:r>
      <w:r w:rsidR="007A4F63">
        <w:rPr>
          <w:rFonts w:ascii="Cambria" w:hAnsi="Cambria"/>
          <w:lang w:val="sv-SE"/>
        </w:rPr>
        <w:t xml:space="preserve"> som man vill uppnå genom att göra vården mer ”behovsstyrd”</w:t>
      </w:r>
      <w:r w:rsidR="00DE3EE9">
        <w:rPr>
          <w:rFonts w:ascii="Cambria" w:hAnsi="Cambria"/>
          <w:lang w:val="sv-SE"/>
        </w:rPr>
        <w:t xml:space="preserve">. Det finns en uppenbar risk för att </w:t>
      </w:r>
      <w:r w:rsidR="002C31E3">
        <w:rPr>
          <w:rFonts w:ascii="Cambria" w:hAnsi="Cambria"/>
          <w:lang w:val="sv-SE"/>
        </w:rPr>
        <w:t>den</w:t>
      </w:r>
      <w:r w:rsidR="002E4C90">
        <w:rPr>
          <w:rFonts w:ascii="Cambria" w:hAnsi="Cambria"/>
          <w:lang w:val="sv-SE"/>
        </w:rPr>
        <w:t xml:space="preserve"> upphandlingsmodell </w:t>
      </w:r>
      <w:r w:rsidR="002C31E3">
        <w:rPr>
          <w:rFonts w:ascii="Cambria" w:hAnsi="Cambria"/>
          <w:lang w:val="sv-SE"/>
        </w:rPr>
        <w:t xml:space="preserve">som införs </w:t>
      </w:r>
      <w:r w:rsidR="002E4C90">
        <w:rPr>
          <w:rFonts w:ascii="Cambria" w:hAnsi="Cambria"/>
          <w:lang w:val="sv-SE"/>
        </w:rPr>
        <w:t>leder till att man åsidosätter vårdgarantin</w:t>
      </w:r>
      <w:r w:rsidR="00735A52">
        <w:rPr>
          <w:rFonts w:ascii="Cambria" w:hAnsi="Cambria"/>
          <w:lang w:val="sv-SE"/>
        </w:rPr>
        <w:t xml:space="preserve"> i jakten på lägre </w:t>
      </w:r>
      <w:r w:rsidR="00C84D92">
        <w:rPr>
          <w:rFonts w:ascii="Cambria" w:hAnsi="Cambria"/>
          <w:lang w:val="sv-SE"/>
        </w:rPr>
        <w:t>vårdkonsumtion</w:t>
      </w:r>
      <w:r w:rsidR="00735A52">
        <w:rPr>
          <w:rFonts w:ascii="Cambria" w:hAnsi="Cambria"/>
          <w:lang w:val="sv-SE"/>
        </w:rPr>
        <w:t>.</w:t>
      </w:r>
      <w:r w:rsidR="003D7317">
        <w:rPr>
          <w:rFonts w:ascii="Cambria" w:hAnsi="Cambria"/>
          <w:lang w:val="sv-SE"/>
        </w:rPr>
        <w:t xml:space="preserve"> </w:t>
      </w:r>
      <w:r w:rsidR="00DE3EE9">
        <w:rPr>
          <w:rFonts w:ascii="Cambria" w:hAnsi="Cambria"/>
          <w:lang w:val="sv-SE"/>
        </w:rPr>
        <w:t xml:space="preserve">Längre köer innebär även en risk för att vårdens jämlikhet minskar (om människor är olika skickliga på att navigera vårdköerna), vilket skulle ge en utveckling i motsatt riktning från det politiska styrets målsättning. Att sådana </w:t>
      </w:r>
      <w:r w:rsidR="00DF74E1">
        <w:rPr>
          <w:rFonts w:ascii="Cambria" w:hAnsi="Cambria"/>
          <w:lang w:val="sv-SE"/>
        </w:rPr>
        <w:t xml:space="preserve">potentiella </w:t>
      </w:r>
      <w:r w:rsidR="00DE3EE9">
        <w:rPr>
          <w:rFonts w:ascii="Cambria" w:hAnsi="Cambria"/>
          <w:lang w:val="sv-SE"/>
        </w:rPr>
        <w:t>målkonflikter inte behandlas i beslutsunderlagen är en allvarlig brist i beredningen av ärendet.</w:t>
      </w:r>
    </w:p>
    <w:p w14:paraId="0491623F" w14:textId="32BB192D" w:rsidR="00226F17" w:rsidRPr="00D30C3C" w:rsidRDefault="00BE10C6" w:rsidP="00D30C3C">
      <w:pPr>
        <w:pStyle w:val="Rubrik2"/>
        <w:numPr>
          <w:ilvl w:val="1"/>
          <w:numId w:val="2"/>
        </w:numPr>
        <w:rPr>
          <w:rFonts w:asciiTheme="minorHAnsi" w:hAnsiTheme="minorHAnsi"/>
          <w:sz w:val="24"/>
          <w:szCs w:val="24"/>
        </w:rPr>
      </w:pPr>
      <w:bookmarkStart w:id="11" w:name="_Toc164353524"/>
      <w:r>
        <w:rPr>
          <w:rFonts w:asciiTheme="minorHAnsi" w:hAnsiTheme="minorHAnsi"/>
          <w:sz w:val="24"/>
          <w:szCs w:val="24"/>
        </w:rPr>
        <w:lastRenderedPageBreak/>
        <w:t>Diskussion</w:t>
      </w:r>
      <w:bookmarkEnd w:id="11"/>
    </w:p>
    <w:p w14:paraId="4AD3C89C" w14:textId="77777777" w:rsidR="00226F17" w:rsidRPr="00D30C3C" w:rsidRDefault="00226F17" w:rsidP="005D47D0">
      <w:pPr>
        <w:jc w:val="both"/>
        <w:rPr>
          <w:rFonts w:asciiTheme="minorHAnsi" w:hAnsiTheme="minorHAnsi"/>
          <w:lang w:val="sv-SE"/>
        </w:rPr>
      </w:pPr>
    </w:p>
    <w:p w14:paraId="08445622" w14:textId="0CF17D6F" w:rsidR="005D6CED" w:rsidRDefault="006E60E1" w:rsidP="005D47D0">
      <w:pPr>
        <w:jc w:val="both"/>
        <w:rPr>
          <w:rFonts w:ascii="Cambria" w:hAnsi="Cambria"/>
          <w:lang w:val="sv-SE"/>
        </w:rPr>
      </w:pPr>
      <w:r>
        <w:rPr>
          <w:rFonts w:asciiTheme="minorHAnsi" w:hAnsiTheme="minorHAnsi"/>
          <w:lang w:val="sv-SE"/>
        </w:rPr>
        <w:t>De</w:t>
      </w:r>
      <w:r w:rsidR="0096044E">
        <w:rPr>
          <w:rFonts w:ascii="Cambria" w:hAnsi="Cambria"/>
          <w:lang w:val="sv-SE"/>
        </w:rPr>
        <w:t xml:space="preserve"> </w:t>
      </w:r>
      <w:r w:rsidR="002472B5">
        <w:rPr>
          <w:rFonts w:ascii="Cambria" w:hAnsi="Cambria"/>
          <w:lang w:val="sv-SE"/>
        </w:rPr>
        <w:t>underlag som</w:t>
      </w:r>
      <w:r w:rsidR="001934D2">
        <w:rPr>
          <w:rFonts w:ascii="Cambria" w:hAnsi="Cambria"/>
          <w:lang w:val="sv-SE"/>
        </w:rPr>
        <w:t xml:space="preserve"> använd</w:t>
      </w:r>
      <w:r w:rsidR="00B852EB">
        <w:rPr>
          <w:rFonts w:ascii="Cambria" w:hAnsi="Cambria"/>
          <w:lang w:val="sv-SE"/>
        </w:rPr>
        <w:t>s</w:t>
      </w:r>
      <w:r w:rsidR="001934D2">
        <w:rPr>
          <w:rFonts w:ascii="Cambria" w:hAnsi="Cambria"/>
          <w:lang w:val="sv-SE"/>
        </w:rPr>
        <w:t xml:space="preserve"> för att rättfärdiga</w:t>
      </w:r>
      <w:r w:rsidR="002472B5">
        <w:rPr>
          <w:rFonts w:ascii="Cambria" w:hAnsi="Cambria"/>
          <w:lang w:val="sv-SE"/>
        </w:rPr>
        <w:t xml:space="preserve"> </w:t>
      </w:r>
      <w:r w:rsidR="004040EA">
        <w:rPr>
          <w:rFonts w:ascii="Cambria" w:hAnsi="Cambria"/>
          <w:lang w:val="sv-SE"/>
        </w:rPr>
        <w:t>de förändringar som nu genomförs i Stockholms</w:t>
      </w:r>
      <w:r w:rsidR="002472B5">
        <w:rPr>
          <w:rFonts w:ascii="Cambria" w:hAnsi="Cambria"/>
          <w:lang w:val="sv-SE"/>
        </w:rPr>
        <w:t xml:space="preserve"> </w:t>
      </w:r>
      <w:r w:rsidR="004040EA">
        <w:rPr>
          <w:rFonts w:ascii="Cambria" w:hAnsi="Cambria"/>
          <w:lang w:val="sv-SE"/>
        </w:rPr>
        <w:t>sjuk</w:t>
      </w:r>
      <w:r w:rsidR="002472B5">
        <w:rPr>
          <w:rFonts w:ascii="Cambria" w:hAnsi="Cambria"/>
          <w:lang w:val="sv-SE"/>
        </w:rPr>
        <w:t xml:space="preserve">vård </w:t>
      </w:r>
      <w:r w:rsidR="00AC121B">
        <w:rPr>
          <w:rFonts w:ascii="Cambria" w:hAnsi="Cambria"/>
          <w:lang w:val="sv-SE"/>
        </w:rPr>
        <w:t xml:space="preserve">saknar </w:t>
      </w:r>
      <w:r w:rsidR="00735A52">
        <w:rPr>
          <w:rFonts w:ascii="Cambria" w:hAnsi="Cambria"/>
          <w:lang w:val="sv-SE"/>
        </w:rPr>
        <w:t>ordentliga konsekvensanalyser</w:t>
      </w:r>
      <w:r w:rsidR="00AC121B">
        <w:rPr>
          <w:rFonts w:ascii="Cambria" w:hAnsi="Cambria"/>
          <w:lang w:val="sv-SE"/>
        </w:rPr>
        <w:t xml:space="preserve"> och är alltför knapphändiga</w:t>
      </w:r>
      <w:r w:rsidR="00881902">
        <w:rPr>
          <w:rFonts w:ascii="Cambria" w:hAnsi="Cambria"/>
          <w:lang w:val="sv-SE"/>
        </w:rPr>
        <w:t xml:space="preserve">. Detta gäller även den </w:t>
      </w:r>
      <w:r w:rsidR="001A1DD4">
        <w:rPr>
          <w:rFonts w:ascii="Cambria" w:hAnsi="Cambria"/>
          <w:lang w:val="sv-SE"/>
        </w:rPr>
        <w:t xml:space="preserve">relativt </w:t>
      </w:r>
      <w:r w:rsidR="00646D29">
        <w:rPr>
          <w:rFonts w:ascii="Cambria" w:hAnsi="Cambria"/>
          <w:lang w:val="sv-SE"/>
        </w:rPr>
        <w:t>omfattande</w:t>
      </w:r>
      <w:r w:rsidR="00881902">
        <w:rPr>
          <w:rFonts w:ascii="Cambria" w:hAnsi="Cambria"/>
          <w:lang w:val="sv-SE"/>
        </w:rPr>
        <w:t xml:space="preserve"> </w:t>
      </w:r>
      <w:r w:rsidR="00B852EB">
        <w:rPr>
          <w:rFonts w:ascii="Cambria" w:hAnsi="Cambria"/>
          <w:lang w:val="sv-SE"/>
        </w:rPr>
        <w:t>utredning som föregående politiska styre beställde om vårdvalet för utmattningssyndrom och långvarig smärta</w:t>
      </w:r>
      <w:r w:rsidR="00881902">
        <w:rPr>
          <w:rFonts w:ascii="Cambria" w:hAnsi="Cambria"/>
          <w:lang w:val="sv-SE"/>
        </w:rPr>
        <w:t xml:space="preserve">, även om den </w:t>
      </w:r>
      <w:r w:rsidR="001A1DD4">
        <w:rPr>
          <w:rFonts w:ascii="Cambria" w:hAnsi="Cambria"/>
          <w:lang w:val="sv-SE"/>
        </w:rPr>
        <w:t>övertygande</w:t>
      </w:r>
      <w:r w:rsidR="00881902">
        <w:rPr>
          <w:rFonts w:ascii="Cambria" w:hAnsi="Cambria"/>
          <w:lang w:val="sv-SE"/>
        </w:rPr>
        <w:t xml:space="preserve"> påvisar att det finns problem i nuvarande system.</w:t>
      </w:r>
    </w:p>
    <w:p w14:paraId="30274FF7" w14:textId="77777777" w:rsidR="005D6CED" w:rsidRDefault="005D6CED" w:rsidP="005D47D0">
      <w:pPr>
        <w:jc w:val="both"/>
        <w:rPr>
          <w:rFonts w:ascii="Cambria" w:hAnsi="Cambria"/>
          <w:lang w:val="sv-SE"/>
        </w:rPr>
      </w:pPr>
    </w:p>
    <w:p w14:paraId="3DF697AD" w14:textId="37B4D9E6" w:rsidR="00DF74E1" w:rsidRDefault="00B827D9" w:rsidP="005D47D0">
      <w:pPr>
        <w:jc w:val="both"/>
        <w:rPr>
          <w:rFonts w:ascii="Cambria" w:hAnsi="Cambria"/>
          <w:lang w:val="sv-SE"/>
        </w:rPr>
      </w:pPr>
      <w:r>
        <w:rPr>
          <w:rFonts w:ascii="Cambria" w:hAnsi="Cambria"/>
          <w:lang w:val="sv-SE"/>
        </w:rPr>
        <w:t>V</w:t>
      </w:r>
      <w:r w:rsidR="00A42604">
        <w:rPr>
          <w:rFonts w:ascii="Cambria" w:hAnsi="Cambria"/>
          <w:lang w:val="sv-SE"/>
        </w:rPr>
        <w:t xml:space="preserve">i </w:t>
      </w:r>
      <w:r>
        <w:rPr>
          <w:rFonts w:ascii="Cambria" w:hAnsi="Cambria"/>
          <w:lang w:val="sv-SE"/>
        </w:rPr>
        <w:t xml:space="preserve">har </w:t>
      </w:r>
      <w:r w:rsidR="00B852EB">
        <w:rPr>
          <w:rFonts w:ascii="Cambria" w:hAnsi="Cambria"/>
          <w:lang w:val="sv-SE"/>
        </w:rPr>
        <w:t xml:space="preserve">gjort en noggrannare analys av </w:t>
      </w:r>
      <w:r w:rsidR="00AF785E">
        <w:rPr>
          <w:rFonts w:ascii="Cambria" w:hAnsi="Cambria"/>
          <w:lang w:val="sv-SE"/>
        </w:rPr>
        <w:t xml:space="preserve">några </w:t>
      </w:r>
      <w:r w:rsidR="00B852EB">
        <w:rPr>
          <w:rFonts w:ascii="Cambria" w:hAnsi="Cambria"/>
          <w:lang w:val="sv-SE"/>
        </w:rPr>
        <w:t xml:space="preserve">påståenden </w:t>
      </w:r>
      <w:r w:rsidR="00AC121B">
        <w:rPr>
          <w:rFonts w:ascii="Cambria" w:hAnsi="Cambria"/>
          <w:lang w:val="sv-SE"/>
        </w:rPr>
        <w:t>om</w:t>
      </w:r>
      <w:r w:rsidR="00B852EB">
        <w:rPr>
          <w:rFonts w:ascii="Cambria" w:hAnsi="Cambria"/>
          <w:lang w:val="sv-SE"/>
        </w:rPr>
        <w:t xml:space="preserve"> vårdvalets effekter </w:t>
      </w:r>
      <w:r w:rsidR="00847501">
        <w:rPr>
          <w:rFonts w:ascii="Cambria" w:hAnsi="Cambria"/>
          <w:lang w:val="sv-SE"/>
        </w:rPr>
        <w:t>inom ögonsjukvården</w:t>
      </w:r>
      <w:r w:rsidR="00A42604">
        <w:rPr>
          <w:rFonts w:ascii="Cambria" w:hAnsi="Cambria"/>
          <w:lang w:val="sv-SE"/>
        </w:rPr>
        <w:t>. Men</w:t>
      </w:r>
      <w:r w:rsidR="00DF74E1">
        <w:rPr>
          <w:rFonts w:ascii="Cambria" w:hAnsi="Cambria"/>
          <w:lang w:val="sv-SE"/>
        </w:rPr>
        <w:t xml:space="preserve"> </w:t>
      </w:r>
      <w:r w:rsidR="00A42604">
        <w:rPr>
          <w:rFonts w:ascii="Cambria" w:hAnsi="Cambria"/>
          <w:lang w:val="sv-SE"/>
        </w:rPr>
        <w:t>grundproblem</w:t>
      </w:r>
      <w:r w:rsidR="00DF74E1">
        <w:rPr>
          <w:rFonts w:ascii="Cambria" w:hAnsi="Cambria"/>
          <w:lang w:val="sv-SE"/>
        </w:rPr>
        <w:t>et är det samma inom andra sjukvårdsområden; ingen har gjort</w:t>
      </w:r>
      <w:r w:rsidR="0013322A">
        <w:rPr>
          <w:rFonts w:ascii="Cambria" w:hAnsi="Cambria"/>
          <w:lang w:val="sv-SE"/>
        </w:rPr>
        <w:t xml:space="preserve"> ordentliga analyser </w:t>
      </w:r>
      <w:r w:rsidR="00DF74E1">
        <w:rPr>
          <w:rFonts w:ascii="Cambria" w:hAnsi="Cambria"/>
          <w:lang w:val="sv-SE"/>
        </w:rPr>
        <w:t xml:space="preserve">som knyter ihop </w:t>
      </w:r>
      <w:r w:rsidR="0013322A">
        <w:rPr>
          <w:rFonts w:ascii="Cambria" w:hAnsi="Cambria"/>
          <w:lang w:val="sv-SE"/>
        </w:rPr>
        <w:t>orsaker</w:t>
      </w:r>
      <w:r w:rsidR="00DF74E1">
        <w:rPr>
          <w:rFonts w:ascii="Cambria" w:hAnsi="Cambria"/>
          <w:lang w:val="sv-SE"/>
        </w:rPr>
        <w:t>na</w:t>
      </w:r>
      <w:r w:rsidR="0013322A">
        <w:rPr>
          <w:rFonts w:ascii="Cambria" w:hAnsi="Cambria"/>
          <w:lang w:val="sv-SE"/>
        </w:rPr>
        <w:t xml:space="preserve"> till nuvarande tillstånd </w:t>
      </w:r>
      <w:r w:rsidR="00DF74E1">
        <w:rPr>
          <w:rFonts w:ascii="Cambria" w:hAnsi="Cambria"/>
          <w:lang w:val="sv-SE"/>
        </w:rPr>
        <w:t xml:space="preserve">med förväntade </w:t>
      </w:r>
      <w:r w:rsidR="008333B1">
        <w:rPr>
          <w:rFonts w:ascii="Cambria" w:hAnsi="Cambria"/>
          <w:lang w:val="sv-SE"/>
        </w:rPr>
        <w:t>nettoeffekter</w:t>
      </w:r>
      <w:r w:rsidR="00DA619D">
        <w:rPr>
          <w:rFonts w:ascii="Cambria" w:hAnsi="Cambria"/>
          <w:lang w:val="sv-SE"/>
        </w:rPr>
        <w:t xml:space="preserve"> av de </w:t>
      </w:r>
      <w:r>
        <w:rPr>
          <w:rFonts w:ascii="Cambria" w:hAnsi="Cambria"/>
          <w:lang w:val="sv-SE"/>
        </w:rPr>
        <w:t xml:space="preserve">pågående </w:t>
      </w:r>
      <w:r w:rsidR="00DA619D">
        <w:rPr>
          <w:rFonts w:ascii="Cambria" w:hAnsi="Cambria"/>
          <w:lang w:val="sv-SE"/>
        </w:rPr>
        <w:t>förändringar</w:t>
      </w:r>
      <w:r>
        <w:rPr>
          <w:rFonts w:ascii="Cambria" w:hAnsi="Cambria"/>
          <w:lang w:val="sv-SE"/>
        </w:rPr>
        <w:t>na</w:t>
      </w:r>
      <w:r w:rsidR="00DF74E1">
        <w:rPr>
          <w:rFonts w:ascii="Cambria" w:hAnsi="Cambria"/>
          <w:lang w:val="sv-SE"/>
        </w:rPr>
        <w:t>.</w:t>
      </w:r>
    </w:p>
    <w:p w14:paraId="173B87EB" w14:textId="324091CD" w:rsidR="005D6CED" w:rsidRDefault="0013322A" w:rsidP="005D47D0">
      <w:pPr>
        <w:jc w:val="both"/>
        <w:rPr>
          <w:rFonts w:ascii="Cambria" w:hAnsi="Cambria"/>
          <w:lang w:val="sv-SE"/>
        </w:rPr>
      </w:pPr>
      <w:r>
        <w:rPr>
          <w:rFonts w:ascii="Cambria" w:hAnsi="Cambria"/>
          <w:lang w:val="sv-SE"/>
        </w:rPr>
        <w:t xml:space="preserve"> </w:t>
      </w:r>
    </w:p>
    <w:p w14:paraId="65567805" w14:textId="130FA125" w:rsidR="00BE10C6" w:rsidRDefault="00CC7B37" w:rsidP="005D47D0">
      <w:pPr>
        <w:jc w:val="both"/>
        <w:rPr>
          <w:rFonts w:ascii="Cambria" w:hAnsi="Cambria"/>
          <w:lang w:val="sv-SE"/>
        </w:rPr>
      </w:pPr>
      <w:r>
        <w:rPr>
          <w:rFonts w:ascii="Cambria" w:hAnsi="Cambria"/>
          <w:lang w:val="sv-SE"/>
        </w:rPr>
        <w:t xml:space="preserve">Hänvisningar till beredskapsskäl för att överta </w:t>
      </w:r>
      <w:proofErr w:type="spellStart"/>
      <w:r>
        <w:rPr>
          <w:rFonts w:ascii="Cambria" w:hAnsi="Cambria"/>
          <w:lang w:val="sv-SE"/>
        </w:rPr>
        <w:t>vägbur</w:t>
      </w:r>
      <w:r w:rsidR="00AC121B">
        <w:rPr>
          <w:rFonts w:ascii="Cambria" w:hAnsi="Cambria"/>
          <w:lang w:val="sv-SE"/>
        </w:rPr>
        <w:t>en</w:t>
      </w:r>
      <w:proofErr w:type="spellEnd"/>
      <w:r>
        <w:rPr>
          <w:rFonts w:ascii="Cambria" w:hAnsi="Cambria"/>
          <w:lang w:val="sv-SE"/>
        </w:rPr>
        <w:t xml:space="preserve"> ambulanssjukvården</w:t>
      </w:r>
      <w:r w:rsidR="00B84674">
        <w:rPr>
          <w:rFonts w:ascii="Cambria" w:hAnsi="Cambria"/>
          <w:lang w:val="sv-SE"/>
        </w:rPr>
        <w:t xml:space="preserve"> och prehospital läkartjänst</w:t>
      </w:r>
      <w:r>
        <w:rPr>
          <w:rFonts w:ascii="Cambria" w:hAnsi="Cambria"/>
          <w:lang w:val="sv-SE"/>
        </w:rPr>
        <w:t xml:space="preserve"> i egen regi </w:t>
      </w:r>
      <w:r w:rsidR="00B24A4B">
        <w:rPr>
          <w:rFonts w:ascii="Cambria" w:hAnsi="Cambria"/>
          <w:lang w:val="sv-SE"/>
        </w:rPr>
        <w:t xml:space="preserve">skulle </w:t>
      </w:r>
      <w:r>
        <w:rPr>
          <w:rFonts w:ascii="Cambria" w:hAnsi="Cambria"/>
          <w:lang w:val="sv-SE"/>
        </w:rPr>
        <w:t xml:space="preserve">exempelvis </w:t>
      </w:r>
      <w:r w:rsidR="00B24A4B">
        <w:rPr>
          <w:rFonts w:ascii="Cambria" w:hAnsi="Cambria"/>
          <w:lang w:val="sv-SE"/>
        </w:rPr>
        <w:t xml:space="preserve">behöva </w:t>
      </w:r>
      <w:r w:rsidR="00F34B3C">
        <w:rPr>
          <w:rFonts w:ascii="Cambria" w:hAnsi="Cambria"/>
          <w:lang w:val="sv-SE"/>
        </w:rPr>
        <w:t xml:space="preserve">backas upp </w:t>
      </w:r>
      <w:r w:rsidR="002A1513">
        <w:rPr>
          <w:rFonts w:ascii="Cambria" w:hAnsi="Cambria"/>
          <w:lang w:val="sv-SE"/>
        </w:rPr>
        <w:t xml:space="preserve">av </w:t>
      </w:r>
      <w:r w:rsidR="00126BD1">
        <w:rPr>
          <w:rFonts w:ascii="Cambria" w:hAnsi="Cambria"/>
          <w:lang w:val="sv-SE"/>
        </w:rPr>
        <w:t xml:space="preserve">faktiska </w:t>
      </w:r>
      <w:r>
        <w:rPr>
          <w:rFonts w:ascii="Cambria" w:hAnsi="Cambria"/>
          <w:lang w:val="sv-SE"/>
        </w:rPr>
        <w:t xml:space="preserve">analyser </w:t>
      </w:r>
      <w:r w:rsidR="002A1513">
        <w:rPr>
          <w:rFonts w:ascii="Cambria" w:hAnsi="Cambria"/>
          <w:lang w:val="sv-SE"/>
        </w:rPr>
        <w:t xml:space="preserve">som påvisar </w:t>
      </w:r>
      <w:r>
        <w:rPr>
          <w:rFonts w:ascii="Cambria" w:hAnsi="Cambria"/>
          <w:lang w:val="sv-SE"/>
        </w:rPr>
        <w:t xml:space="preserve">varför beredskapen skulle gynnas </w:t>
      </w:r>
      <w:r w:rsidR="00126BD1">
        <w:rPr>
          <w:rFonts w:ascii="Cambria" w:hAnsi="Cambria"/>
          <w:lang w:val="sv-SE"/>
        </w:rPr>
        <w:t>av en centralisering</w:t>
      </w:r>
      <w:r w:rsidR="002A1513">
        <w:rPr>
          <w:rFonts w:ascii="Cambria" w:hAnsi="Cambria"/>
          <w:lang w:val="sv-SE"/>
        </w:rPr>
        <w:t xml:space="preserve">. </w:t>
      </w:r>
      <w:r w:rsidR="0096044E">
        <w:rPr>
          <w:rFonts w:ascii="Cambria" w:hAnsi="Cambria"/>
          <w:lang w:val="sv-SE"/>
        </w:rPr>
        <w:t xml:space="preserve">Nuvarande slutsats måste betraktas som </w:t>
      </w:r>
      <w:r w:rsidR="00DF74E1">
        <w:rPr>
          <w:rFonts w:ascii="Cambria" w:hAnsi="Cambria"/>
          <w:lang w:val="sv-SE"/>
        </w:rPr>
        <w:t xml:space="preserve">mer av </w:t>
      </w:r>
      <w:r w:rsidR="0096044E">
        <w:rPr>
          <w:rFonts w:ascii="Cambria" w:hAnsi="Cambria"/>
          <w:lang w:val="sv-SE"/>
        </w:rPr>
        <w:t xml:space="preserve">ett antagande. Samtidigt finns andra </w:t>
      </w:r>
      <w:r w:rsidR="00126BD1">
        <w:rPr>
          <w:rFonts w:ascii="Cambria" w:hAnsi="Cambria"/>
          <w:lang w:val="sv-SE"/>
        </w:rPr>
        <w:t xml:space="preserve">skäl att anta </w:t>
      </w:r>
      <w:r w:rsidR="0096044E">
        <w:rPr>
          <w:rFonts w:ascii="Cambria" w:hAnsi="Cambria"/>
          <w:lang w:val="sv-SE"/>
        </w:rPr>
        <w:t xml:space="preserve">det omvända förhållandet – att </w:t>
      </w:r>
      <w:r w:rsidR="00126BD1">
        <w:rPr>
          <w:rFonts w:ascii="Cambria" w:hAnsi="Cambria"/>
          <w:lang w:val="sv-SE"/>
        </w:rPr>
        <w:t xml:space="preserve">en mer decentraliserad vård </w:t>
      </w:r>
      <w:r w:rsidR="0096044E">
        <w:rPr>
          <w:rFonts w:ascii="Cambria" w:hAnsi="Cambria"/>
          <w:lang w:val="sv-SE"/>
        </w:rPr>
        <w:t xml:space="preserve">är mer fördelaktig </w:t>
      </w:r>
      <w:r w:rsidR="00F34B3C">
        <w:rPr>
          <w:rFonts w:ascii="Cambria" w:hAnsi="Cambria"/>
          <w:lang w:val="sv-SE"/>
        </w:rPr>
        <w:t>ur</w:t>
      </w:r>
      <w:r w:rsidR="0096044E">
        <w:rPr>
          <w:rFonts w:ascii="Cambria" w:hAnsi="Cambria"/>
          <w:lang w:val="sv-SE"/>
        </w:rPr>
        <w:t xml:space="preserve"> beredskapsperspektiv. Så skulle det e</w:t>
      </w:r>
      <w:r w:rsidR="00126BD1">
        <w:rPr>
          <w:rFonts w:ascii="Cambria" w:hAnsi="Cambria"/>
          <w:lang w:val="sv-SE"/>
        </w:rPr>
        <w:t xml:space="preserve">xempelvis </w:t>
      </w:r>
      <w:r w:rsidR="0096044E">
        <w:rPr>
          <w:rFonts w:ascii="Cambria" w:hAnsi="Cambria"/>
          <w:lang w:val="sv-SE"/>
        </w:rPr>
        <w:t xml:space="preserve">kunna vara därför </w:t>
      </w:r>
      <w:r w:rsidR="00126BD1">
        <w:rPr>
          <w:rFonts w:ascii="Cambria" w:hAnsi="Cambria"/>
          <w:lang w:val="sv-SE"/>
        </w:rPr>
        <w:t xml:space="preserve">att </w:t>
      </w:r>
      <w:r w:rsidR="0096044E">
        <w:rPr>
          <w:rFonts w:ascii="Cambria" w:hAnsi="Cambria"/>
          <w:lang w:val="sv-SE"/>
        </w:rPr>
        <w:t xml:space="preserve">infrastrukturen i ett mer decentraliserat system </w:t>
      </w:r>
      <w:r w:rsidR="00126BD1">
        <w:rPr>
          <w:rFonts w:ascii="Cambria" w:hAnsi="Cambria"/>
          <w:lang w:val="sv-SE"/>
        </w:rPr>
        <w:t>bli</w:t>
      </w:r>
      <w:r w:rsidR="0096044E">
        <w:rPr>
          <w:rFonts w:ascii="Cambria" w:hAnsi="Cambria"/>
          <w:lang w:val="sv-SE"/>
        </w:rPr>
        <w:t>r</w:t>
      </w:r>
      <w:r w:rsidR="00126BD1">
        <w:rPr>
          <w:rFonts w:ascii="Cambria" w:hAnsi="Cambria"/>
          <w:lang w:val="sv-SE"/>
        </w:rPr>
        <w:t xml:space="preserve"> mindre sårbar vid attacker</w:t>
      </w:r>
      <w:r w:rsidR="00BE10C6">
        <w:rPr>
          <w:rFonts w:ascii="Cambria" w:hAnsi="Cambria"/>
          <w:lang w:val="sv-SE"/>
        </w:rPr>
        <w:t xml:space="preserve">. </w:t>
      </w:r>
      <w:r w:rsidR="0096044E">
        <w:rPr>
          <w:rFonts w:ascii="Cambria" w:hAnsi="Cambria"/>
          <w:lang w:val="sv-SE"/>
        </w:rPr>
        <w:t xml:space="preserve">Det går att anföra en rad olika sådana </w:t>
      </w:r>
      <w:r w:rsidR="00B84674">
        <w:rPr>
          <w:rFonts w:ascii="Cambria" w:hAnsi="Cambria"/>
          <w:lang w:val="sv-SE"/>
        </w:rPr>
        <w:t xml:space="preserve">argument </w:t>
      </w:r>
      <w:r w:rsidR="0096044E">
        <w:rPr>
          <w:rFonts w:ascii="Cambria" w:hAnsi="Cambria"/>
          <w:lang w:val="sv-SE"/>
        </w:rPr>
        <w:t xml:space="preserve">om </w:t>
      </w:r>
      <w:r w:rsidR="00B84674">
        <w:rPr>
          <w:rFonts w:ascii="Cambria" w:hAnsi="Cambria"/>
          <w:lang w:val="sv-SE"/>
        </w:rPr>
        <w:t>varför</w:t>
      </w:r>
      <w:r w:rsidR="00E93A92">
        <w:rPr>
          <w:rFonts w:ascii="Cambria" w:hAnsi="Cambria"/>
          <w:lang w:val="sv-SE"/>
        </w:rPr>
        <w:t xml:space="preserve"> </w:t>
      </w:r>
      <w:r w:rsidR="008333B1">
        <w:rPr>
          <w:rFonts w:ascii="Cambria" w:hAnsi="Cambria"/>
          <w:lang w:val="sv-SE"/>
        </w:rPr>
        <w:t xml:space="preserve">beredskapen </w:t>
      </w:r>
      <w:r w:rsidR="0096044E">
        <w:rPr>
          <w:rFonts w:ascii="Cambria" w:hAnsi="Cambria"/>
          <w:lang w:val="sv-SE"/>
        </w:rPr>
        <w:t xml:space="preserve">kommer att </w:t>
      </w:r>
      <w:r w:rsidR="008333B1">
        <w:rPr>
          <w:rFonts w:ascii="Cambria" w:hAnsi="Cambria"/>
          <w:lang w:val="sv-SE"/>
        </w:rPr>
        <w:t xml:space="preserve">förbättras eller försämras </w:t>
      </w:r>
      <w:r w:rsidR="0096044E">
        <w:rPr>
          <w:rFonts w:ascii="Cambria" w:hAnsi="Cambria"/>
          <w:lang w:val="sv-SE"/>
        </w:rPr>
        <w:t xml:space="preserve">när </w:t>
      </w:r>
      <w:r w:rsidR="00DF74E1">
        <w:rPr>
          <w:rFonts w:ascii="Cambria" w:hAnsi="Cambria"/>
          <w:lang w:val="sv-SE"/>
        </w:rPr>
        <w:t>sjuk</w:t>
      </w:r>
      <w:r w:rsidR="0096044E">
        <w:rPr>
          <w:rFonts w:ascii="Cambria" w:hAnsi="Cambria"/>
          <w:lang w:val="sv-SE"/>
        </w:rPr>
        <w:t xml:space="preserve">vård överförs </w:t>
      </w:r>
      <w:r w:rsidR="002F1D55">
        <w:rPr>
          <w:rFonts w:ascii="Cambria" w:hAnsi="Cambria"/>
          <w:lang w:val="sv-SE"/>
        </w:rPr>
        <w:t>till egen regi</w:t>
      </w:r>
      <w:r w:rsidR="0096044E">
        <w:rPr>
          <w:rFonts w:ascii="Cambria" w:hAnsi="Cambria"/>
          <w:lang w:val="sv-SE"/>
        </w:rPr>
        <w:t xml:space="preserve">. Men det behövs noggranna bedömningar och analyser för att väga möjligheterna mot varandra och </w:t>
      </w:r>
      <w:r w:rsidR="002F1D55">
        <w:rPr>
          <w:rFonts w:ascii="Cambria" w:hAnsi="Cambria"/>
          <w:lang w:val="sv-SE"/>
        </w:rPr>
        <w:t>dra slutsatser utifrån detta.</w:t>
      </w:r>
    </w:p>
    <w:p w14:paraId="47BD0879" w14:textId="77777777" w:rsidR="00234F6A" w:rsidRDefault="00234F6A" w:rsidP="005D47D0">
      <w:pPr>
        <w:jc w:val="both"/>
        <w:rPr>
          <w:rFonts w:ascii="Cambria" w:hAnsi="Cambria"/>
          <w:lang w:val="sv-SE"/>
        </w:rPr>
      </w:pPr>
    </w:p>
    <w:p w14:paraId="698EB471" w14:textId="090416DA" w:rsidR="00234F6A" w:rsidRDefault="00234F6A" w:rsidP="005D47D0">
      <w:pPr>
        <w:jc w:val="both"/>
        <w:rPr>
          <w:rFonts w:ascii="Cambria" w:hAnsi="Cambria"/>
          <w:lang w:val="sv-SE"/>
        </w:rPr>
      </w:pPr>
      <w:r>
        <w:rPr>
          <w:rFonts w:ascii="Cambria" w:hAnsi="Cambria"/>
          <w:lang w:val="sv-SE"/>
        </w:rPr>
        <w:t xml:space="preserve">Ett annat exempel rör planen att </w:t>
      </w:r>
      <w:r w:rsidR="00DB6D1C">
        <w:rPr>
          <w:rFonts w:ascii="Cambria" w:hAnsi="Cambria"/>
          <w:lang w:val="sv-SE"/>
        </w:rPr>
        <w:t>ta över</w:t>
      </w:r>
      <w:r w:rsidR="00DB6D1C" w:rsidRPr="00234F6A">
        <w:rPr>
          <w:rFonts w:ascii="Cambria" w:hAnsi="Cambria"/>
          <w:lang w:val="sv-SE"/>
        </w:rPr>
        <w:t xml:space="preserve"> </w:t>
      </w:r>
      <w:r w:rsidRPr="00234F6A">
        <w:rPr>
          <w:rFonts w:ascii="Cambria" w:hAnsi="Cambria"/>
          <w:lang w:val="sv-SE"/>
        </w:rPr>
        <w:t>sjukvårdsrådgivningen 1177 Vårdguiden</w:t>
      </w:r>
      <w:r w:rsidR="00DB6D1C">
        <w:rPr>
          <w:rFonts w:ascii="Cambria" w:hAnsi="Cambria"/>
          <w:lang w:val="sv-SE"/>
        </w:rPr>
        <w:t xml:space="preserve"> </w:t>
      </w:r>
      <w:r w:rsidR="00414FCD">
        <w:rPr>
          <w:rFonts w:ascii="Cambria" w:hAnsi="Cambria"/>
          <w:lang w:val="sv-SE"/>
        </w:rPr>
        <w:t>i egen offentlig regi</w:t>
      </w:r>
      <w:r>
        <w:rPr>
          <w:rFonts w:ascii="Cambria" w:hAnsi="Cambria"/>
          <w:lang w:val="sv-SE"/>
        </w:rPr>
        <w:t xml:space="preserve">. </w:t>
      </w:r>
      <w:r w:rsidR="00B24A4B">
        <w:rPr>
          <w:rFonts w:ascii="Cambria" w:hAnsi="Cambria"/>
          <w:lang w:val="sv-SE"/>
        </w:rPr>
        <w:t>När a</w:t>
      </w:r>
      <w:r w:rsidR="00657337">
        <w:rPr>
          <w:rFonts w:ascii="Cambria" w:hAnsi="Cambria"/>
          <w:lang w:val="sv-SE"/>
        </w:rPr>
        <w:t>ndra</w:t>
      </w:r>
      <w:r w:rsidR="00E167B6">
        <w:rPr>
          <w:rFonts w:ascii="Cambria" w:hAnsi="Cambria"/>
          <w:lang w:val="sv-SE"/>
        </w:rPr>
        <w:t xml:space="preserve"> regioner</w:t>
      </w:r>
      <w:r>
        <w:rPr>
          <w:rFonts w:ascii="Cambria" w:hAnsi="Cambria"/>
          <w:lang w:val="sv-SE"/>
        </w:rPr>
        <w:t>, såsom Värmland och Sörmland</w:t>
      </w:r>
      <w:r w:rsidR="00E167B6">
        <w:rPr>
          <w:rFonts w:ascii="Cambria" w:hAnsi="Cambria"/>
          <w:lang w:val="sv-SE"/>
        </w:rPr>
        <w:t xml:space="preserve">, har tagit över sjukvårdsupplysningen i egen regi </w:t>
      </w:r>
      <w:r w:rsidR="004C30E2">
        <w:rPr>
          <w:rFonts w:ascii="Cambria" w:hAnsi="Cambria"/>
          <w:lang w:val="sv-SE"/>
        </w:rPr>
        <w:t xml:space="preserve">har </w:t>
      </w:r>
      <w:r w:rsidR="00657337">
        <w:rPr>
          <w:rFonts w:ascii="Cambria" w:hAnsi="Cambria"/>
          <w:lang w:val="sv-SE"/>
        </w:rPr>
        <w:t xml:space="preserve">väntetiderna </w:t>
      </w:r>
      <w:r w:rsidR="004C30E2">
        <w:rPr>
          <w:rFonts w:ascii="Cambria" w:hAnsi="Cambria"/>
          <w:lang w:val="sv-SE"/>
        </w:rPr>
        <w:t>blivit längre</w:t>
      </w:r>
      <w:r w:rsidR="00E167B6">
        <w:rPr>
          <w:rFonts w:ascii="Cambria" w:hAnsi="Cambria"/>
          <w:lang w:val="sv-SE"/>
        </w:rPr>
        <w:t>. Stockholm</w:t>
      </w:r>
      <w:r w:rsidR="00657337">
        <w:rPr>
          <w:rFonts w:ascii="Cambria" w:hAnsi="Cambria"/>
          <w:lang w:val="sv-SE"/>
        </w:rPr>
        <w:t xml:space="preserve"> har också</w:t>
      </w:r>
      <w:r w:rsidR="00E167B6">
        <w:rPr>
          <w:rFonts w:ascii="Cambria" w:hAnsi="Cambria"/>
          <w:lang w:val="sv-SE"/>
        </w:rPr>
        <w:t xml:space="preserve"> mycket lägre kostnader per samtal, en </w:t>
      </w:r>
      <w:r w:rsidR="004C30E2">
        <w:rPr>
          <w:rFonts w:ascii="Cambria" w:hAnsi="Cambria"/>
          <w:lang w:val="sv-SE"/>
        </w:rPr>
        <w:t xml:space="preserve">avsevärt </w:t>
      </w:r>
      <w:r w:rsidR="00E167B6">
        <w:rPr>
          <w:rFonts w:ascii="Cambria" w:hAnsi="Cambria"/>
          <w:lang w:val="sv-SE"/>
        </w:rPr>
        <w:t xml:space="preserve">högre andel besvarade samtal och kortare väntetider </w:t>
      </w:r>
      <w:r w:rsidR="00657337">
        <w:rPr>
          <w:rFonts w:ascii="Cambria" w:hAnsi="Cambria"/>
          <w:lang w:val="sv-SE"/>
        </w:rPr>
        <w:t>i jämförelse med fem andra regioner som driver sjukvårdsrådgivningen i egen regi (</w:t>
      </w:r>
      <w:proofErr w:type="spellStart"/>
      <w:r w:rsidR="00657337">
        <w:rPr>
          <w:rFonts w:ascii="Cambria" w:hAnsi="Cambria"/>
          <w:lang w:val="sv-SE"/>
        </w:rPr>
        <w:t>Lanryd</w:t>
      </w:r>
      <w:proofErr w:type="spellEnd"/>
      <w:r w:rsidR="00657337">
        <w:rPr>
          <w:rFonts w:ascii="Cambria" w:hAnsi="Cambria"/>
          <w:lang w:val="sv-SE"/>
        </w:rPr>
        <w:t xml:space="preserve"> 2024). Detta betyder inte att ett övertagande i egen regi nödvändigtvis </w:t>
      </w:r>
      <w:r w:rsidR="008B2F41">
        <w:rPr>
          <w:rFonts w:ascii="Cambria" w:hAnsi="Cambria"/>
          <w:lang w:val="sv-SE"/>
        </w:rPr>
        <w:t xml:space="preserve">kommer att </w:t>
      </w:r>
      <w:r w:rsidR="00657337">
        <w:rPr>
          <w:rFonts w:ascii="Cambria" w:hAnsi="Cambria"/>
          <w:lang w:val="sv-SE"/>
        </w:rPr>
        <w:t xml:space="preserve">leda till försämringar, men det </w:t>
      </w:r>
      <w:r w:rsidR="004C30E2">
        <w:rPr>
          <w:rFonts w:ascii="Cambria" w:hAnsi="Cambria"/>
          <w:lang w:val="sv-SE"/>
        </w:rPr>
        <w:t xml:space="preserve">står klart att </w:t>
      </w:r>
      <w:r w:rsidR="00657337">
        <w:rPr>
          <w:rFonts w:ascii="Cambria" w:hAnsi="Cambria"/>
          <w:lang w:val="sv-SE"/>
        </w:rPr>
        <w:t>risk</w:t>
      </w:r>
      <w:r w:rsidR="004C30E2">
        <w:rPr>
          <w:rFonts w:ascii="Cambria" w:hAnsi="Cambria"/>
          <w:lang w:val="sv-SE"/>
        </w:rPr>
        <w:t xml:space="preserve">en finns och </w:t>
      </w:r>
      <w:r w:rsidR="008B2F41">
        <w:rPr>
          <w:rFonts w:ascii="Cambria" w:hAnsi="Cambria"/>
          <w:lang w:val="sv-SE"/>
        </w:rPr>
        <w:t xml:space="preserve">att förändringen </w:t>
      </w:r>
      <w:r w:rsidR="004C30E2">
        <w:rPr>
          <w:rFonts w:ascii="Cambria" w:hAnsi="Cambria"/>
          <w:lang w:val="sv-SE"/>
        </w:rPr>
        <w:t>därför bör</w:t>
      </w:r>
      <w:r w:rsidR="00657337">
        <w:rPr>
          <w:rFonts w:ascii="Cambria" w:hAnsi="Cambria"/>
          <w:lang w:val="sv-SE"/>
        </w:rPr>
        <w:t xml:space="preserve"> </w:t>
      </w:r>
      <w:r w:rsidR="008B2F41">
        <w:rPr>
          <w:rFonts w:ascii="Cambria" w:hAnsi="Cambria"/>
          <w:lang w:val="sv-SE"/>
        </w:rPr>
        <w:t>utredas</w:t>
      </w:r>
      <w:r w:rsidR="00657337">
        <w:rPr>
          <w:rFonts w:ascii="Cambria" w:hAnsi="Cambria"/>
          <w:lang w:val="sv-SE"/>
        </w:rPr>
        <w:t xml:space="preserve"> ordentligt innan </w:t>
      </w:r>
      <w:r w:rsidR="008B2F41">
        <w:rPr>
          <w:rFonts w:ascii="Cambria" w:hAnsi="Cambria"/>
          <w:lang w:val="sv-SE"/>
        </w:rPr>
        <w:t>den genomförs</w:t>
      </w:r>
      <w:r w:rsidR="00657337">
        <w:rPr>
          <w:rFonts w:ascii="Cambria" w:hAnsi="Cambria"/>
          <w:lang w:val="sv-SE"/>
        </w:rPr>
        <w:t>.</w:t>
      </w:r>
    </w:p>
    <w:p w14:paraId="458A11A9" w14:textId="77777777" w:rsidR="007A159E" w:rsidRDefault="007A159E" w:rsidP="005D47D0">
      <w:pPr>
        <w:jc w:val="both"/>
        <w:rPr>
          <w:rFonts w:ascii="Cambria" w:hAnsi="Cambria"/>
          <w:lang w:val="sv-SE"/>
        </w:rPr>
      </w:pPr>
    </w:p>
    <w:p w14:paraId="6A94BF48" w14:textId="1F4668EF" w:rsidR="0094135E" w:rsidRDefault="007A159E" w:rsidP="007A159E">
      <w:pPr>
        <w:jc w:val="both"/>
        <w:rPr>
          <w:rFonts w:ascii="Cambria" w:hAnsi="Cambria"/>
          <w:lang w:val="sv-SE"/>
        </w:rPr>
      </w:pPr>
      <w:r>
        <w:rPr>
          <w:rFonts w:ascii="Cambria" w:hAnsi="Cambria"/>
          <w:lang w:val="sv-SE"/>
        </w:rPr>
        <w:t xml:space="preserve">Detsamma gäller påståenden om överkonsumtion av ögonsjukvård i Region Stockholm. </w:t>
      </w:r>
      <w:r w:rsidR="006E60E1">
        <w:rPr>
          <w:rFonts w:ascii="Cambria" w:hAnsi="Cambria"/>
          <w:lang w:val="sv-SE"/>
        </w:rPr>
        <w:t>I</w:t>
      </w:r>
      <w:r>
        <w:rPr>
          <w:rFonts w:ascii="Cambria" w:hAnsi="Cambria"/>
          <w:lang w:val="sv-SE"/>
        </w:rPr>
        <w:t xml:space="preserve"> tjänsteutlåtande</w:t>
      </w:r>
      <w:r w:rsidR="00B22A86">
        <w:rPr>
          <w:rFonts w:ascii="Cambria" w:hAnsi="Cambria"/>
          <w:lang w:val="sv-SE"/>
        </w:rPr>
        <w:t>t</w:t>
      </w:r>
      <w:r>
        <w:rPr>
          <w:rFonts w:ascii="Cambria" w:hAnsi="Cambria"/>
          <w:lang w:val="sv-SE"/>
        </w:rPr>
        <w:t xml:space="preserve"> om att ersätta vårdval med upphandling inom ögonsjukvården (</w:t>
      </w:r>
      <w:r w:rsidRPr="007A159E">
        <w:rPr>
          <w:rFonts w:ascii="Cambria" w:hAnsi="Cambria"/>
          <w:lang w:val="sv-SE"/>
        </w:rPr>
        <w:t xml:space="preserve">HSN </w:t>
      </w:r>
      <w:proofErr w:type="gramStart"/>
      <w:r w:rsidRPr="007A159E">
        <w:rPr>
          <w:rFonts w:ascii="Cambria" w:hAnsi="Cambria"/>
          <w:lang w:val="sv-SE"/>
        </w:rPr>
        <w:t>2023-0938</w:t>
      </w:r>
      <w:proofErr w:type="gramEnd"/>
      <w:r>
        <w:rPr>
          <w:rFonts w:ascii="Cambria" w:hAnsi="Cambria"/>
          <w:lang w:val="sv-SE"/>
        </w:rPr>
        <w:t xml:space="preserve">) hävdas att det går att spara </w:t>
      </w:r>
      <w:r w:rsidRPr="007A159E">
        <w:rPr>
          <w:rFonts w:ascii="Cambria" w:hAnsi="Cambria"/>
          <w:lang w:val="sv-SE"/>
        </w:rPr>
        <w:t xml:space="preserve">upp till 45 miljoner kronor till 2026 genom minskad </w:t>
      </w:r>
      <w:r>
        <w:rPr>
          <w:rFonts w:ascii="Cambria" w:hAnsi="Cambria"/>
          <w:lang w:val="sv-SE"/>
        </w:rPr>
        <w:t>”</w:t>
      </w:r>
      <w:r w:rsidRPr="007A159E">
        <w:rPr>
          <w:rFonts w:ascii="Cambria" w:hAnsi="Cambria"/>
          <w:lang w:val="sv-SE"/>
        </w:rPr>
        <w:t>icke-medicinskt motiverad vård</w:t>
      </w:r>
      <w:r>
        <w:rPr>
          <w:rFonts w:ascii="Cambria" w:hAnsi="Cambria"/>
          <w:lang w:val="sv-SE"/>
        </w:rPr>
        <w:t>”</w:t>
      </w:r>
      <w:r w:rsidR="003F400E">
        <w:rPr>
          <w:rFonts w:ascii="Cambria" w:hAnsi="Cambria"/>
          <w:lang w:val="sv-SE"/>
        </w:rPr>
        <w:t xml:space="preserve">. Som vi har visat (i avsnitt 3.1) är detta en </w:t>
      </w:r>
      <w:r w:rsidR="00570F0A">
        <w:rPr>
          <w:rFonts w:ascii="Cambria" w:hAnsi="Cambria"/>
          <w:lang w:val="sv-SE"/>
        </w:rPr>
        <w:t xml:space="preserve">ytterst </w:t>
      </w:r>
      <w:r w:rsidR="003F400E">
        <w:rPr>
          <w:rFonts w:ascii="Cambria" w:hAnsi="Cambria"/>
          <w:lang w:val="sv-SE"/>
        </w:rPr>
        <w:t xml:space="preserve">tveksam tolkning både sett till volymstatistiken och till primärvårdens förmåga att utföra ögonsjukvård. Det saknas detaljerade uppgifter både om vilka behandlingar som utförs trots att de inte är medicinskt motiverade och hur deras totalkostnad har räknats fram. </w:t>
      </w:r>
    </w:p>
    <w:p w14:paraId="7CA3B674" w14:textId="77777777" w:rsidR="0094135E" w:rsidRDefault="0094135E" w:rsidP="007A159E">
      <w:pPr>
        <w:jc w:val="both"/>
        <w:rPr>
          <w:rFonts w:ascii="Cambria" w:hAnsi="Cambria"/>
          <w:lang w:val="sv-SE"/>
        </w:rPr>
      </w:pPr>
    </w:p>
    <w:p w14:paraId="68E767B1" w14:textId="3DA2BCC5" w:rsidR="003F400E" w:rsidRDefault="00C75EF0" w:rsidP="007A159E">
      <w:pPr>
        <w:jc w:val="both"/>
        <w:rPr>
          <w:rFonts w:ascii="Cambria" w:hAnsi="Cambria"/>
          <w:lang w:val="sv-SE"/>
        </w:rPr>
      </w:pPr>
      <w:r>
        <w:rPr>
          <w:rFonts w:ascii="Cambria" w:hAnsi="Cambria"/>
          <w:lang w:val="sv-SE"/>
        </w:rPr>
        <w:t>P</w:t>
      </w:r>
      <w:r w:rsidR="006E60E1">
        <w:rPr>
          <w:rFonts w:ascii="Cambria" w:hAnsi="Cambria"/>
          <w:lang w:val="sv-SE"/>
        </w:rPr>
        <w:t>åståenden om icke-medicinskt motivera</w:t>
      </w:r>
      <w:r>
        <w:rPr>
          <w:rFonts w:ascii="Cambria" w:hAnsi="Cambria"/>
          <w:lang w:val="sv-SE"/>
        </w:rPr>
        <w:t>d</w:t>
      </w:r>
      <w:r w:rsidR="006E60E1">
        <w:rPr>
          <w:rFonts w:ascii="Cambria" w:hAnsi="Cambria"/>
          <w:lang w:val="sv-SE"/>
        </w:rPr>
        <w:t xml:space="preserve"> vård </w:t>
      </w:r>
      <w:r>
        <w:rPr>
          <w:rFonts w:ascii="Cambria" w:hAnsi="Cambria"/>
          <w:lang w:val="sv-SE"/>
        </w:rPr>
        <w:t xml:space="preserve">framstår även </w:t>
      </w:r>
      <w:r w:rsidR="006E60E1">
        <w:rPr>
          <w:rFonts w:ascii="Cambria" w:hAnsi="Cambria"/>
          <w:lang w:val="sv-SE"/>
        </w:rPr>
        <w:t>som märkliga med tanke på köerna i vården. Stockholm är som nämnts avsevärt bättre på att uppfylla vårdgarantin än övriga regioner</w:t>
      </w:r>
      <w:r w:rsidR="000F575B">
        <w:rPr>
          <w:rFonts w:ascii="Cambria" w:hAnsi="Cambria"/>
          <w:lang w:val="sv-SE"/>
        </w:rPr>
        <w:t xml:space="preserve"> – och Stockholms fördel har ökat </w:t>
      </w:r>
      <w:r w:rsidR="00D71925">
        <w:rPr>
          <w:rFonts w:ascii="Cambria" w:hAnsi="Cambria"/>
          <w:lang w:val="sv-SE"/>
        </w:rPr>
        <w:t>sedan vårdvalet infördes</w:t>
      </w:r>
      <w:r w:rsidR="006E60E1">
        <w:rPr>
          <w:rFonts w:ascii="Cambria" w:hAnsi="Cambria"/>
          <w:lang w:val="sv-SE"/>
        </w:rPr>
        <w:t xml:space="preserve">. Högre kostnader i Stockholm än i andra regioner kan därför inte tolkas som att det finns ”överkonsumtion” i Stockholm. Om alla regioner hade uppfyllt vårdgarantin lika bra som Stockholm hade kostnadsskillnaderna </w:t>
      </w:r>
      <w:r w:rsidR="00DF74E1">
        <w:rPr>
          <w:rFonts w:ascii="Cambria" w:hAnsi="Cambria"/>
          <w:lang w:val="sv-SE"/>
        </w:rPr>
        <w:t xml:space="preserve">kunnat </w:t>
      </w:r>
      <w:r w:rsidR="006E60E1">
        <w:rPr>
          <w:rFonts w:ascii="Cambria" w:hAnsi="Cambria"/>
          <w:lang w:val="sv-SE"/>
        </w:rPr>
        <w:t>var</w:t>
      </w:r>
      <w:r w:rsidR="00DF74E1">
        <w:rPr>
          <w:rFonts w:ascii="Cambria" w:hAnsi="Cambria"/>
          <w:lang w:val="sv-SE"/>
        </w:rPr>
        <w:t>a</w:t>
      </w:r>
      <w:r w:rsidR="006E60E1">
        <w:rPr>
          <w:rFonts w:ascii="Cambria" w:hAnsi="Cambria"/>
          <w:lang w:val="sv-SE"/>
        </w:rPr>
        <w:t xml:space="preserve"> en indikation på överkonsumtion i Stockholm. Men givet de faktiska skillnaderna i vårdgarantin</w:t>
      </w:r>
      <w:r w:rsidR="000F575B">
        <w:rPr>
          <w:rFonts w:ascii="Cambria" w:hAnsi="Cambria"/>
          <w:lang w:val="sv-SE"/>
        </w:rPr>
        <w:t xml:space="preserve"> – som </w:t>
      </w:r>
      <w:r w:rsidR="000F575B">
        <w:rPr>
          <w:rFonts w:ascii="Cambria" w:hAnsi="Cambria"/>
          <w:lang w:val="sv-SE"/>
        </w:rPr>
        <w:lastRenderedPageBreak/>
        <w:t>alltså har ökat sedan vårdvalet infördes –</w:t>
      </w:r>
      <w:r w:rsidR="006E60E1">
        <w:rPr>
          <w:rFonts w:ascii="Cambria" w:hAnsi="Cambria"/>
          <w:lang w:val="sv-SE"/>
        </w:rPr>
        <w:t xml:space="preserve"> är det rimligare att tala om underkonsumtion i andra regioner</w:t>
      </w:r>
      <w:r w:rsidR="000F575B">
        <w:rPr>
          <w:rFonts w:ascii="Cambria" w:hAnsi="Cambria"/>
          <w:lang w:val="sv-SE"/>
        </w:rPr>
        <w:t xml:space="preserve">: </w:t>
      </w:r>
      <w:r w:rsidR="00D71925">
        <w:rPr>
          <w:rFonts w:ascii="Cambria" w:hAnsi="Cambria"/>
          <w:lang w:val="sv-SE"/>
        </w:rPr>
        <w:t>p</w:t>
      </w:r>
      <w:r w:rsidR="006E60E1">
        <w:rPr>
          <w:rFonts w:ascii="Cambria" w:hAnsi="Cambria"/>
          <w:lang w:val="sv-SE"/>
        </w:rPr>
        <w:t xml:space="preserve">atienter utanför Region Stockholm löper </w:t>
      </w:r>
      <w:r w:rsidR="004A2A91">
        <w:rPr>
          <w:rFonts w:ascii="Cambria" w:hAnsi="Cambria"/>
          <w:lang w:val="sv-SE"/>
        </w:rPr>
        <w:t xml:space="preserve">med andra ord </w:t>
      </w:r>
      <w:r w:rsidR="006E60E1">
        <w:rPr>
          <w:rFonts w:ascii="Cambria" w:hAnsi="Cambria"/>
          <w:lang w:val="sv-SE"/>
        </w:rPr>
        <w:t xml:space="preserve">en större risk </w:t>
      </w:r>
      <w:r w:rsidR="00B83CE8">
        <w:rPr>
          <w:rFonts w:ascii="Cambria" w:hAnsi="Cambria"/>
          <w:lang w:val="sv-SE"/>
        </w:rPr>
        <w:t xml:space="preserve">för </w:t>
      </w:r>
      <w:r w:rsidR="006E60E1">
        <w:rPr>
          <w:rFonts w:ascii="Cambria" w:hAnsi="Cambria"/>
          <w:lang w:val="sv-SE"/>
        </w:rPr>
        <w:t xml:space="preserve">att bli utan medicinskt motiverat vård. </w:t>
      </w:r>
      <w:r w:rsidR="003F400E">
        <w:rPr>
          <w:rFonts w:ascii="Cambria" w:hAnsi="Cambria"/>
          <w:lang w:val="sv-SE"/>
        </w:rPr>
        <w:t xml:space="preserve"> </w:t>
      </w:r>
    </w:p>
    <w:p w14:paraId="415F246F" w14:textId="77777777" w:rsidR="003F400E" w:rsidRDefault="003F400E" w:rsidP="007A159E">
      <w:pPr>
        <w:jc w:val="both"/>
        <w:rPr>
          <w:rFonts w:ascii="Cambria" w:hAnsi="Cambria"/>
          <w:lang w:val="sv-SE"/>
        </w:rPr>
      </w:pPr>
    </w:p>
    <w:p w14:paraId="6D3B4DDA" w14:textId="63AA9DA6" w:rsidR="005D6CED" w:rsidRDefault="004E4008" w:rsidP="005D47D0">
      <w:pPr>
        <w:jc w:val="both"/>
        <w:rPr>
          <w:rFonts w:ascii="Cambria" w:hAnsi="Cambria"/>
          <w:lang w:val="sv-SE"/>
        </w:rPr>
      </w:pPr>
      <w:r>
        <w:rPr>
          <w:rFonts w:ascii="Cambria" w:hAnsi="Cambria"/>
          <w:lang w:val="sv-SE"/>
        </w:rPr>
        <w:t>För varje sjukvårdsområde krävs helt enkelt n</w:t>
      </w:r>
      <w:r w:rsidR="00BE10C6">
        <w:rPr>
          <w:rFonts w:ascii="Cambria" w:hAnsi="Cambria"/>
          <w:lang w:val="sv-SE"/>
        </w:rPr>
        <w:t>oggranna utredningar för att avgöra nettoeffekter</w:t>
      </w:r>
      <w:r w:rsidR="00FB3EE3">
        <w:rPr>
          <w:rFonts w:ascii="Cambria" w:hAnsi="Cambria"/>
          <w:lang w:val="sv-SE"/>
        </w:rPr>
        <w:t xml:space="preserve">na </w:t>
      </w:r>
      <w:r w:rsidR="00BE10C6">
        <w:rPr>
          <w:rFonts w:ascii="Cambria" w:hAnsi="Cambria"/>
          <w:lang w:val="sv-SE"/>
        </w:rPr>
        <w:t>på de olika utfall</w:t>
      </w:r>
      <w:r w:rsidR="00FB3EE3">
        <w:rPr>
          <w:rFonts w:ascii="Cambria" w:hAnsi="Cambria"/>
          <w:lang w:val="sv-SE"/>
        </w:rPr>
        <w:t xml:space="preserve"> </w:t>
      </w:r>
      <w:r>
        <w:rPr>
          <w:rFonts w:ascii="Cambria" w:hAnsi="Cambria"/>
          <w:lang w:val="sv-SE"/>
        </w:rPr>
        <w:t xml:space="preserve">som </w:t>
      </w:r>
      <w:r w:rsidR="00FB3EE3">
        <w:rPr>
          <w:rFonts w:ascii="Cambria" w:hAnsi="Cambria"/>
          <w:lang w:val="sv-SE"/>
        </w:rPr>
        <w:t>man vill förbättra.</w:t>
      </w:r>
      <w:r w:rsidR="00BE10C6">
        <w:rPr>
          <w:rFonts w:ascii="Cambria" w:hAnsi="Cambria"/>
          <w:lang w:val="sv-SE"/>
        </w:rPr>
        <w:t xml:space="preserve"> </w:t>
      </w:r>
      <w:r w:rsidR="005C0FF2">
        <w:rPr>
          <w:rFonts w:ascii="Cambria" w:hAnsi="Cambria"/>
          <w:lang w:val="sv-SE"/>
        </w:rPr>
        <w:t>Tyvärr tvingas vi konstatera att några s</w:t>
      </w:r>
      <w:r w:rsidR="00D71925">
        <w:rPr>
          <w:rFonts w:ascii="Cambria" w:hAnsi="Cambria"/>
          <w:lang w:val="sv-SE"/>
        </w:rPr>
        <w:t>ådana</w:t>
      </w:r>
      <w:r w:rsidR="00FB3EE3">
        <w:rPr>
          <w:rFonts w:ascii="Cambria" w:hAnsi="Cambria"/>
          <w:lang w:val="sv-SE"/>
        </w:rPr>
        <w:t xml:space="preserve"> utredningar</w:t>
      </w:r>
      <w:r w:rsidR="00D71925">
        <w:rPr>
          <w:rFonts w:ascii="Cambria" w:hAnsi="Cambria"/>
          <w:lang w:val="sv-SE"/>
        </w:rPr>
        <w:t xml:space="preserve"> </w:t>
      </w:r>
      <w:r w:rsidR="00FB3EE3">
        <w:rPr>
          <w:rFonts w:ascii="Cambria" w:hAnsi="Cambria"/>
          <w:lang w:val="sv-SE"/>
        </w:rPr>
        <w:t xml:space="preserve">inte </w:t>
      </w:r>
      <w:r w:rsidR="005C0FF2">
        <w:rPr>
          <w:rFonts w:ascii="Cambria" w:hAnsi="Cambria"/>
          <w:lang w:val="sv-SE"/>
        </w:rPr>
        <w:t xml:space="preserve">har </w:t>
      </w:r>
      <w:r w:rsidR="00FB3EE3">
        <w:rPr>
          <w:rFonts w:ascii="Cambria" w:hAnsi="Cambria"/>
          <w:lang w:val="sv-SE"/>
        </w:rPr>
        <w:t>genomförts.</w:t>
      </w:r>
    </w:p>
    <w:p w14:paraId="7E0A18F9" w14:textId="77777777" w:rsidR="0055120C" w:rsidRDefault="0055120C" w:rsidP="00573208">
      <w:pPr>
        <w:jc w:val="both"/>
        <w:rPr>
          <w:rFonts w:ascii="Cambria" w:hAnsi="Cambria"/>
          <w:highlight w:val="yellow"/>
          <w:lang w:val="sv-SE"/>
        </w:rPr>
      </w:pPr>
    </w:p>
    <w:p w14:paraId="37E689A6" w14:textId="77777777" w:rsidR="00573208" w:rsidRDefault="00573208" w:rsidP="005D47D0">
      <w:pPr>
        <w:jc w:val="both"/>
        <w:rPr>
          <w:rFonts w:ascii="Cambria" w:hAnsi="Cambria"/>
          <w:lang w:val="sv-SE"/>
        </w:rPr>
      </w:pPr>
    </w:p>
    <w:p w14:paraId="2D2F5D08" w14:textId="1D28F59A" w:rsidR="001B6029" w:rsidRPr="005A394A" w:rsidRDefault="001B6029" w:rsidP="005D47D0">
      <w:pPr>
        <w:jc w:val="both"/>
        <w:rPr>
          <w:rFonts w:ascii="Cambria" w:hAnsi="Cambria"/>
          <w:lang w:val="sv-SE"/>
        </w:rPr>
      </w:pPr>
      <w:r>
        <w:rPr>
          <w:rFonts w:ascii="Cambria" w:hAnsi="Cambria"/>
          <w:lang w:val="sv-SE"/>
        </w:rPr>
        <w:br w:type="page"/>
      </w:r>
    </w:p>
    <w:p w14:paraId="0FEB320A" w14:textId="429FAF01" w:rsidR="00D15EEB" w:rsidRPr="001B6029" w:rsidRDefault="00643AD9" w:rsidP="008219AC">
      <w:pPr>
        <w:pStyle w:val="Rubrik1"/>
        <w:numPr>
          <w:ilvl w:val="0"/>
          <w:numId w:val="2"/>
        </w:numPr>
        <w:spacing w:before="200"/>
        <w:ind w:left="357" w:hanging="357"/>
        <w:rPr>
          <w:rFonts w:asciiTheme="minorHAnsi" w:hAnsiTheme="minorHAnsi"/>
          <w:sz w:val="24"/>
          <w:szCs w:val="24"/>
        </w:rPr>
      </w:pPr>
      <w:bookmarkStart w:id="12" w:name="_Toc164353525"/>
      <w:r>
        <w:rPr>
          <w:rFonts w:asciiTheme="minorHAnsi" w:hAnsiTheme="minorHAnsi"/>
          <w:sz w:val="24"/>
          <w:szCs w:val="24"/>
        </w:rPr>
        <w:lastRenderedPageBreak/>
        <w:t>Finns det skäl att tro att målen uppnås</w:t>
      </w:r>
      <w:r w:rsidR="00067129">
        <w:rPr>
          <w:rFonts w:asciiTheme="minorHAnsi" w:hAnsiTheme="minorHAnsi"/>
          <w:sz w:val="24"/>
          <w:szCs w:val="24"/>
        </w:rPr>
        <w:t xml:space="preserve"> med den nya inriktningen</w:t>
      </w:r>
      <w:r>
        <w:rPr>
          <w:rFonts w:asciiTheme="minorHAnsi" w:hAnsiTheme="minorHAnsi"/>
          <w:sz w:val="24"/>
          <w:szCs w:val="24"/>
        </w:rPr>
        <w:t>?</w:t>
      </w:r>
      <w:bookmarkEnd w:id="12"/>
    </w:p>
    <w:p w14:paraId="7964179F" w14:textId="77777777" w:rsidR="00D15EEB" w:rsidRPr="005A394A" w:rsidRDefault="00D15EEB" w:rsidP="005D47D0">
      <w:pPr>
        <w:jc w:val="both"/>
        <w:rPr>
          <w:rFonts w:ascii="Cambria" w:hAnsi="Cambria"/>
          <w:lang w:val="sv-SE"/>
        </w:rPr>
      </w:pPr>
    </w:p>
    <w:p w14:paraId="08FF9511" w14:textId="569C7C79" w:rsidR="00283098" w:rsidRPr="00283098" w:rsidRDefault="00283098" w:rsidP="00BB1C52">
      <w:pPr>
        <w:jc w:val="both"/>
        <w:rPr>
          <w:rFonts w:ascii="Cambria" w:hAnsi="Cambria"/>
          <w:lang w:val="sv-SE"/>
        </w:rPr>
      </w:pPr>
      <w:r w:rsidRPr="00283098">
        <w:rPr>
          <w:rFonts w:ascii="Cambria" w:hAnsi="Cambria"/>
          <w:lang w:val="sv-SE"/>
        </w:rPr>
        <w:t xml:space="preserve">Som förra avsnittet visade är </w:t>
      </w:r>
      <w:r>
        <w:rPr>
          <w:rFonts w:ascii="Cambria" w:hAnsi="Cambria"/>
          <w:lang w:val="sv-SE"/>
        </w:rPr>
        <w:t>besluts</w:t>
      </w:r>
      <w:r w:rsidRPr="00283098">
        <w:rPr>
          <w:rFonts w:ascii="Cambria" w:hAnsi="Cambria"/>
          <w:lang w:val="sv-SE"/>
        </w:rPr>
        <w:t>underlage</w:t>
      </w:r>
      <w:r>
        <w:rPr>
          <w:rFonts w:ascii="Cambria" w:hAnsi="Cambria"/>
          <w:lang w:val="sv-SE"/>
        </w:rPr>
        <w:t>n</w:t>
      </w:r>
      <w:r w:rsidRPr="00283098">
        <w:rPr>
          <w:rFonts w:ascii="Cambria" w:hAnsi="Cambria"/>
          <w:lang w:val="sv-SE"/>
        </w:rPr>
        <w:t xml:space="preserve"> för pågående och genomförda förändringar av specialistvården i Region Stockholm</w:t>
      </w:r>
      <w:r w:rsidR="00422244">
        <w:rPr>
          <w:rFonts w:ascii="Cambria" w:hAnsi="Cambria"/>
          <w:lang w:val="sv-SE"/>
        </w:rPr>
        <w:t xml:space="preserve"> bristfälliga</w:t>
      </w:r>
      <w:r w:rsidRPr="00283098">
        <w:rPr>
          <w:rFonts w:ascii="Cambria" w:hAnsi="Cambria"/>
          <w:lang w:val="sv-SE"/>
        </w:rPr>
        <w:t xml:space="preserve">. Trots att det handlar om stora förändringar har inga ordentliga konsekvensanalyser gjorts. En viktig del av sådana konsekvensanalyser är att konsultera relevant empirisk forskning om valfrihet och privata utförare. </w:t>
      </w:r>
      <w:r w:rsidR="00422244">
        <w:rPr>
          <w:rFonts w:ascii="Cambria" w:hAnsi="Cambria"/>
          <w:lang w:val="sv-SE"/>
        </w:rPr>
        <w:t xml:space="preserve">I många fall saknas svensk eller </w:t>
      </w:r>
      <w:r w:rsidRPr="00283098">
        <w:rPr>
          <w:rFonts w:ascii="Cambria" w:hAnsi="Cambria"/>
          <w:lang w:val="sv-SE"/>
        </w:rPr>
        <w:t xml:space="preserve">regionspecifik forskning om konsekvenserna av en enskild förändring </w:t>
      </w:r>
      <w:r w:rsidR="00422244">
        <w:rPr>
          <w:rFonts w:ascii="Cambria" w:hAnsi="Cambria"/>
          <w:lang w:val="sv-SE"/>
        </w:rPr>
        <w:t xml:space="preserve">och då behöver man beakta andra närliggande studier, även från andra länder, för att avgöra vilka effekter som </w:t>
      </w:r>
      <w:r w:rsidR="00501243">
        <w:rPr>
          <w:rFonts w:ascii="Cambria" w:hAnsi="Cambria"/>
          <w:lang w:val="sv-SE"/>
        </w:rPr>
        <w:t>kan</w:t>
      </w:r>
      <w:r w:rsidR="00422244">
        <w:rPr>
          <w:rFonts w:ascii="Cambria" w:hAnsi="Cambria"/>
          <w:lang w:val="sv-SE"/>
        </w:rPr>
        <w:t xml:space="preserve"> förvänta</w:t>
      </w:r>
      <w:r w:rsidR="00501243">
        <w:rPr>
          <w:rFonts w:ascii="Cambria" w:hAnsi="Cambria"/>
          <w:lang w:val="sv-SE"/>
        </w:rPr>
        <w:t>s</w:t>
      </w:r>
      <w:r w:rsidR="00422244">
        <w:rPr>
          <w:rFonts w:ascii="Cambria" w:hAnsi="Cambria"/>
          <w:lang w:val="sv-SE"/>
        </w:rPr>
        <w:t xml:space="preserve">. </w:t>
      </w:r>
      <w:r w:rsidRPr="00283098">
        <w:rPr>
          <w:rFonts w:ascii="Cambria" w:hAnsi="Cambria"/>
          <w:lang w:val="sv-SE"/>
        </w:rPr>
        <w:t xml:space="preserve">Faktum är att ett forskningsfält som analyserar valfrihet och privata alternativ i sjukvården har vuxit fram under de senaste decennierna, </w:t>
      </w:r>
      <w:r w:rsidR="00D43798">
        <w:rPr>
          <w:rFonts w:ascii="Cambria" w:hAnsi="Cambria"/>
          <w:lang w:val="sv-SE"/>
        </w:rPr>
        <w:t>främst</w:t>
      </w:r>
      <w:r w:rsidR="00D43798" w:rsidRPr="00283098">
        <w:rPr>
          <w:rFonts w:ascii="Cambria" w:hAnsi="Cambria"/>
          <w:lang w:val="sv-SE"/>
        </w:rPr>
        <w:t xml:space="preserve"> </w:t>
      </w:r>
      <w:r w:rsidRPr="00283098">
        <w:rPr>
          <w:rFonts w:ascii="Cambria" w:hAnsi="Cambria"/>
          <w:lang w:val="sv-SE"/>
        </w:rPr>
        <w:t xml:space="preserve">internationellt </w:t>
      </w:r>
      <w:r w:rsidR="00D43798">
        <w:rPr>
          <w:rFonts w:ascii="Cambria" w:hAnsi="Cambria"/>
          <w:lang w:val="sv-SE"/>
        </w:rPr>
        <w:t>men även</w:t>
      </w:r>
      <w:r w:rsidR="00D43798" w:rsidRPr="00283098">
        <w:rPr>
          <w:rFonts w:ascii="Cambria" w:hAnsi="Cambria"/>
          <w:lang w:val="sv-SE"/>
        </w:rPr>
        <w:t xml:space="preserve"> </w:t>
      </w:r>
      <w:r w:rsidRPr="00283098">
        <w:rPr>
          <w:rFonts w:ascii="Cambria" w:hAnsi="Cambria"/>
          <w:lang w:val="sv-SE"/>
        </w:rPr>
        <w:t xml:space="preserve">i Sverige. </w:t>
      </w:r>
    </w:p>
    <w:p w14:paraId="5006740F" w14:textId="77777777" w:rsidR="00283098" w:rsidRPr="00283098" w:rsidRDefault="00283098" w:rsidP="00BB1C52">
      <w:pPr>
        <w:jc w:val="both"/>
        <w:rPr>
          <w:rFonts w:ascii="Cambria" w:hAnsi="Cambria"/>
          <w:lang w:val="sv-SE"/>
        </w:rPr>
      </w:pPr>
    </w:p>
    <w:p w14:paraId="229F36D9" w14:textId="3FCF8E0E" w:rsidR="00283098" w:rsidRPr="00283098" w:rsidRDefault="00283098" w:rsidP="00BB1C52">
      <w:pPr>
        <w:jc w:val="both"/>
        <w:rPr>
          <w:rFonts w:ascii="Cambria" w:hAnsi="Cambria"/>
          <w:lang w:val="sv-SE"/>
        </w:rPr>
      </w:pPr>
      <w:r w:rsidRPr="00283098">
        <w:rPr>
          <w:rFonts w:ascii="Cambria" w:hAnsi="Cambria"/>
          <w:lang w:val="sv-SE"/>
        </w:rPr>
        <w:t xml:space="preserve">I det här avsnittet går vi igenom sådan forskning. Först </w:t>
      </w:r>
      <w:r w:rsidR="001A37EC">
        <w:rPr>
          <w:rFonts w:ascii="Cambria" w:hAnsi="Cambria"/>
          <w:lang w:val="sv-SE"/>
        </w:rPr>
        <w:t xml:space="preserve">presenteras </w:t>
      </w:r>
      <w:r w:rsidRPr="00283098">
        <w:rPr>
          <w:rFonts w:ascii="Cambria" w:hAnsi="Cambria"/>
          <w:lang w:val="sv-SE"/>
        </w:rPr>
        <w:t>en kort teoretisk introduktion i avsnitt 4.1. Därefter följer en redogörelse för internationella studier i avsnitt 4.1 och svenska studier i avsnitt 4.2. Vårt fokus ligger på studier av vårdval och konkurrens samt jämförelser av privata och offentliga utförare inom den specialiserade vården. Genom att väga samman de olika studierna hoppas vi uppnå en förståelse för sannolikheten att den styrande politiska koalitionens målsättningar kommer att uppnås genom de förändringar som nu genomförs.</w:t>
      </w:r>
    </w:p>
    <w:p w14:paraId="1EDF3A75" w14:textId="77777777" w:rsidR="00246A77" w:rsidRDefault="00246A77">
      <w:pPr>
        <w:rPr>
          <w:rFonts w:ascii="Cambria" w:hAnsi="Cambria"/>
          <w:lang w:val="sv-SE"/>
        </w:rPr>
      </w:pPr>
    </w:p>
    <w:p w14:paraId="04719271" w14:textId="7042114F" w:rsidR="00246A77" w:rsidRPr="00246A77" w:rsidRDefault="00246A77" w:rsidP="00246A77">
      <w:pPr>
        <w:keepNext/>
        <w:keepLines/>
        <w:numPr>
          <w:ilvl w:val="1"/>
          <w:numId w:val="2"/>
        </w:numPr>
        <w:spacing w:before="200" w:after="160" w:line="259" w:lineRule="auto"/>
        <w:ind w:left="0" w:firstLine="0"/>
        <w:outlineLvl w:val="0"/>
        <w:rPr>
          <w:rFonts w:ascii="Cambria" w:eastAsia="MS Gothic" w:hAnsi="Cambria"/>
          <w:b/>
          <w:bCs/>
          <w:color w:val="345A8A"/>
          <w:lang w:val="sv-SE" w:eastAsia="en-US"/>
        </w:rPr>
      </w:pPr>
      <w:bookmarkStart w:id="13" w:name="_Toc162017214"/>
      <w:bookmarkStart w:id="14" w:name="_Toc164353526"/>
      <w:r w:rsidRPr="00246A77">
        <w:rPr>
          <w:rFonts w:ascii="Cambria" w:eastAsia="MS Gothic" w:hAnsi="Cambria"/>
          <w:b/>
          <w:bCs/>
          <w:color w:val="345A8A"/>
          <w:lang w:val="sv-SE" w:eastAsia="en-US"/>
        </w:rPr>
        <w:t>Teor</w:t>
      </w:r>
      <w:bookmarkEnd w:id="13"/>
      <w:r>
        <w:rPr>
          <w:rFonts w:ascii="Cambria" w:eastAsia="MS Gothic" w:hAnsi="Cambria"/>
          <w:b/>
          <w:bCs/>
          <w:color w:val="345A8A"/>
          <w:lang w:val="sv-SE" w:eastAsia="en-US"/>
        </w:rPr>
        <w:t>etiska utgångspunkter</w:t>
      </w:r>
      <w:bookmarkEnd w:id="14"/>
    </w:p>
    <w:p w14:paraId="1F1D2643" w14:textId="361CC8BE" w:rsidR="00246A77" w:rsidRPr="00246A77" w:rsidRDefault="00122B3F" w:rsidP="00246A77">
      <w:pPr>
        <w:jc w:val="both"/>
        <w:rPr>
          <w:rFonts w:ascii="Cambria" w:eastAsia="MS Mincho" w:hAnsi="Cambria"/>
          <w:lang w:val="sv-SE" w:eastAsia="en-US"/>
        </w:rPr>
      </w:pPr>
      <w:r>
        <w:rPr>
          <w:rFonts w:ascii="Cambria" w:eastAsia="MS Mincho" w:hAnsi="Cambria"/>
          <w:lang w:val="sv-SE" w:eastAsia="en-US"/>
        </w:rPr>
        <w:t>Inledningsvis</w:t>
      </w:r>
      <w:r w:rsidR="00246A77" w:rsidRPr="00246A77">
        <w:rPr>
          <w:rFonts w:ascii="Cambria" w:eastAsia="MS Mincho" w:hAnsi="Cambria"/>
          <w:lang w:val="sv-SE" w:eastAsia="en-US"/>
        </w:rPr>
        <w:t xml:space="preserve"> är det lämpligt att kort beskriva några ekonomisk-teoretiska utgångspunkter, med fokus på specialistvården. För mer allmänna och längre beskrivningar hänvisar vi till Bergman (2013) samt Blix och Jordahl (2021, kapitel 5). </w:t>
      </w:r>
    </w:p>
    <w:p w14:paraId="3C5189CB" w14:textId="77777777" w:rsidR="00246A77" w:rsidRPr="00246A77" w:rsidRDefault="00246A77" w:rsidP="00246A77">
      <w:pPr>
        <w:jc w:val="both"/>
        <w:rPr>
          <w:rFonts w:ascii="Cambria" w:eastAsia="MS Mincho" w:hAnsi="Cambria"/>
          <w:lang w:val="sv-SE" w:eastAsia="en-US"/>
        </w:rPr>
      </w:pPr>
    </w:p>
    <w:p w14:paraId="1F200617" w14:textId="0687248E" w:rsidR="00246A77" w:rsidRPr="00246A77" w:rsidRDefault="00246A77" w:rsidP="00246A77">
      <w:pPr>
        <w:jc w:val="both"/>
        <w:rPr>
          <w:rFonts w:ascii="Cambria" w:eastAsia="MS Mincho" w:hAnsi="Cambria"/>
          <w:lang w:val="sv-SE" w:eastAsia="en-US"/>
        </w:rPr>
      </w:pPr>
      <w:r w:rsidRPr="00246A77">
        <w:rPr>
          <w:rFonts w:ascii="Cambria" w:eastAsia="MS Mincho" w:hAnsi="Cambria"/>
          <w:lang w:val="sv-SE" w:eastAsia="en-US"/>
        </w:rPr>
        <w:t xml:space="preserve">På ”normala” konkurrensutsatta marknader råder det ingen tvekan om att privata företag i allmänhet är mer effektiva än den offentliga sektorn. Vinstintresset ger en stark drivkraft att hålla kunderna nöjda och sänka kostnaderna så långt som möjligt. På välfärdsmarknader, som specialistsjukvård, är privata företags överlägsenhet mindre uppenbar. Vården betalas inte direkt av patienterna utan av skattebetalarna. Vårdkvaliteten är i många fall svår att mäta och ännu svårare att reglera i ett kontrakt med en leverantör. Det finns </w:t>
      </w:r>
      <w:r w:rsidR="00C75A15">
        <w:rPr>
          <w:rFonts w:ascii="Cambria" w:eastAsia="MS Mincho" w:hAnsi="Cambria"/>
          <w:lang w:val="sv-SE" w:eastAsia="en-US"/>
        </w:rPr>
        <w:t xml:space="preserve">därför </w:t>
      </w:r>
      <w:r w:rsidRPr="00246A77">
        <w:rPr>
          <w:rFonts w:ascii="Cambria" w:eastAsia="MS Mincho" w:hAnsi="Cambria"/>
          <w:lang w:val="sv-SE" w:eastAsia="en-US"/>
        </w:rPr>
        <w:t xml:space="preserve">en risk för att leverantören, beroende på situationen, säljer för mycket vård eller att vården håller för låg kvalitet. Ett vårdföretag skulle på sådana sätt kunna göra hög vinst på skattebetalarnas bekostnad, särskilt om marknadens storlek bara räcker till för en eller ett par utförare. Upphandlade vårdkontrakt bestäms i regel för flera år i taget och kommer aldrig att vara tillräckligt flexibla för att parera alla situationer där leverantören kan tjäna pengar på att tillhandahålla för låg kvalitet. Det innebär dock inte att vård i offentlig regi automatiskt är att föredra; den offentliga sektorn har andra problem, som byråkratisering, likriktning och svagare kostnadskontroll. </w:t>
      </w:r>
    </w:p>
    <w:p w14:paraId="2A9675ED" w14:textId="77777777" w:rsidR="00246A77" w:rsidRPr="00246A77" w:rsidRDefault="00246A77" w:rsidP="00246A77">
      <w:pPr>
        <w:jc w:val="both"/>
        <w:rPr>
          <w:rFonts w:ascii="Cambria" w:eastAsia="MS Mincho" w:hAnsi="Cambria"/>
          <w:lang w:val="sv-SE" w:eastAsia="en-US"/>
        </w:rPr>
      </w:pPr>
    </w:p>
    <w:p w14:paraId="1118003B" w14:textId="74C0E00E" w:rsidR="0082062B" w:rsidRDefault="00246A77" w:rsidP="00246A77">
      <w:pPr>
        <w:jc w:val="both"/>
        <w:rPr>
          <w:rFonts w:ascii="Cambria" w:eastAsia="MS Mincho" w:hAnsi="Cambria"/>
          <w:lang w:val="sv-SE" w:eastAsia="en-US"/>
        </w:rPr>
      </w:pPr>
      <w:r w:rsidRPr="00246A77">
        <w:rPr>
          <w:rFonts w:ascii="Cambria" w:eastAsia="MS Mincho" w:hAnsi="Cambria"/>
          <w:lang w:val="sv-SE" w:eastAsia="en-US"/>
        </w:rPr>
        <w:t xml:space="preserve">Vårdval är ett sätt att skapa drivkrafter för god kvalitet. Tanken är att patienterna kommer att söka upp den bästa vården och att de även kommer att fördela sig mellan vårdgivare på ett sätt som matchar deras preferenser mot vårdgivarnas profiler. Till exempel skiljer sig privata vinstdrivande, privata icke-vinstdrivande och offentliga utförare från varandra och det är osannolikt att alla patienter föredrar samma grupp av utförare. Med vårdval spelar det </w:t>
      </w:r>
      <w:r w:rsidR="0082062B">
        <w:rPr>
          <w:rFonts w:ascii="Cambria" w:eastAsia="MS Mincho" w:hAnsi="Cambria"/>
          <w:lang w:val="sv-SE" w:eastAsia="en-US"/>
        </w:rPr>
        <w:t xml:space="preserve">också </w:t>
      </w:r>
      <w:r w:rsidRPr="00246A77">
        <w:rPr>
          <w:rFonts w:ascii="Cambria" w:eastAsia="MS Mincho" w:hAnsi="Cambria"/>
          <w:lang w:val="sv-SE" w:eastAsia="en-US"/>
        </w:rPr>
        <w:t xml:space="preserve">mindre roll att vissa kvalitetsaspekter inte är mätbara; så länge patienterna upplever </w:t>
      </w:r>
      <w:r w:rsidR="00C75B2D">
        <w:rPr>
          <w:rFonts w:ascii="Cambria" w:eastAsia="MS Mincho" w:hAnsi="Cambria"/>
          <w:lang w:val="sv-SE" w:eastAsia="en-US"/>
        </w:rPr>
        <w:t xml:space="preserve">och värderar </w:t>
      </w:r>
      <w:r w:rsidRPr="00246A77">
        <w:rPr>
          <w:rFonts w:ascii="Cambria" w:eastAsia="MS Mincho" w:hAnsi="Cambria"/>
          <w:lang w:val="sv-SE" w:eastAsia="en-US"/>
        </w:rPr>
        <w:t>kvaliteten</w:t>
      </w:r>
      <w:r w:rsidR="0082062B">
        <w:rPr>
          <w:rFonts w:ascii="Cambria" w:eastAsia="MS Mincho" w:hAnsi="Cambria"/>
          <w:lang w:val="sv-SE" w:eastAsia="en-US"/>
        </w:rPr>
        <w:t xml:space="preserve"> </w:t>
      </w:r>
      <w:r w:rsidRPr="00246A77">
        <w:rPr>
          <w:rFonts w:ascii="Cambria" w:eastAsia="MS Mincho" w:hAnsi="Cambria"/>
          <w:lang w:val="sv-SE" w:eastAsia="en-US"/>
        </w:rPr>
        <w:t xml:space="preserve">kommer de att reagera </w:t>
      </w:r>
      <w:r w:rsidRPr="00246A77">
        <w:rPr>
          <w:rFonts w:ascii="Cambria" w:eastAsia="MS Mincho" w:hAnsi="Cambria"/>
          <w:lang w:val="sv-SE" w:eastAsia="en-US"/>
        </w:rPr>
        <w:lastRenderedPageBreak/>
        <w:t xml:space="preserve">på den. Regionen kan som systemansvarig fokusera på mätbara kvalitetsaspekter, både genom att ställa krav för att släppa in utförare i systemet och genom att följa upp kvalitetsmått bland de </w:t>
      </w:r>
      <w:r w:rsidR="00C75B2D" w:rsidRPr="00246A77">
        <w:rPr>
          <w:rFonts w:ascii="Cambria" w:eastAsia="MS Mincho" w:hAnsi="Cambria"/>
          <w:lang w:val="sv-SE" w:eastAsia="en-US"/>
        </w:rPr>
        <w:t>utförar</w:t>
      </w:r>
      <w:r w:rsidR="00C75B2D">
        <w:rPr>
          <w:rFonts w:ascii="Cambria" w:eastAsia="MS Mincho" w:hAnsi="Cambria"/>
          <w:lang w:val="sv-SE" w:eastAsia="en-US"/>
        </w:rPr>
        <w:t>e</w:t>
      </w:r>
      <w:r w:rsidR="00C75B2D" w:rsidRPr="00246A77">
        <w:rPr>
          <w:rFonts w:ascii="Cambria" w:eastAsia="MS Mincho" w:hAnsi="Cambria"/>
          <w:lang w:val="sv-SE" w:eastAsia="en-US"/>
        </w:rPr>
        <w:t xml:space="preserve"> </w:t>
      </w:r>
      <w:r w:rsidRPr="00246A77">
        <w:rPr>
          <w:rFonts w:ascii="Cambria" w:eastAsia="MS Mincho" w:hAnsi="Cambria"/>
          <w:lang w:val="sv-SE" w:eastAsia="en-US"/>
        </w:rPr>
        <w:t xml:space="preserve">som har släppts in. </w:t>
      </w:r>
    </w:p>
    <w:p w14:paraId="779C4FC0" w14:textId="77777777" w:rsidR="0082062B" w:rsidRDefault="0082062B" w:rsidP="00246A77">
      <w:pPr>
        <w:jc w:val="both"/>
        <w:rPr>
          <w:rFonts w:ascii="Cambria" w:eastAsia="MS Mincho" w:hAnsi="Cambria"/>
          <w:lang w:val="sv-SE" w:eastAsia="en-US"/>
        </w:rPr>
      </w:pPr>
    </w:p>
    <w:p w14:paraId="6936C935" w14:textId="1D3F2CC0" w:rsidR="00246A77" w:rsidRPr="00246A77" w:rsidRDefault="00246A77" w:rsidP="00246A77">
      <w:pPr>
        <w:jc w:val="both"/>
        <w:rPr>
          <w:rFonts w:ascii="Cambria" w:eastAsia="MS Mincho" w:hAnsi="Cambria"/>
          <w:lang w:val="sv-SE" w:eastAsia="en-US"/>
        </w:rPr>
      </w:pPr>
      <w:r w:rsidRPr="00246A77">
        <w:rPr>
          <w:rFonts w:ascii="Cambria" w:eastAsia="MS Mincho" w:hAnsi="Cambria"/>
          <w:lang w:val="sv-SE" w:eastAsia="en-US"/>
        </w:rPr>
        <w:t xml:space="preserve">Vårdval kan därför i teorin fungera bättre än upphandlad vård när det gäller kvalitet. Vårdvolymerna kommer också att ligga närmare patienternas </w:t>
      </w:r>
      <w:r w:rsidR="0082062B">
        <w:rPr>
          <w:rFonts w:ascii="Cambria" w:eastAsia="MS Mincho" w:hAnsi="Cambria"/>
          <w:lang w:val="sv-SE" w:eastAsia="en-US"/>
        </w:rPr>
        <w:t>upplevda behov</w:t>
      </w:r>
      <w:r w:rsidRPr="00246A77">
        <w:rPr>
          <w:rFonts w:ascii="Cambria" w:eastAsia="MS Mincho" w:hAnsi="Cambria"/>
          <w:lang w:val="sv-SE" w:eastAsia="en-US"/>
        </w:rPr>
        <w:t xml:space="preserve">, vilket i grunden är positivt, men skulle kunna vara problematiskt om det produceras mer vård på skattebetalarnas bekostnad än vad som är medicinskt motiverat. Det främsta argumentet mot vårdval är dock att patienterna kan ha svårt att göra genomtänkta val. De befinner sig i ett informationsunderläge jämfört med vårdgivarna och kan vid ambulans- och akutvård helt sakna tid och möjlighet att beakta olika alternativ. Följden kan bli att patienterna nöjer sig med lägre vårdkvalitet. </w:t>
      </w:r>
    </w:p>
    <w:p w14:paraId="75D1D45C" w14:textId="77777777" w:rsidR="00246A77" w:rsidRPr="00246A77" w:rsidRDefault="00246A77" w:rsidP="00246A77">
      <w:pPr>
        <w:jc w:val="both"/>
        <w:rPr>
          <w:rFonts w:ascii="Cambria" w:eastAsia="MS Mincho" w:hAnsi="Cambria"/>
          <w:lang w:val="sv-SE" w:eastAsia="en-US"/>
        </w:rPr>
      </w:pPr>
    </w:p>
    <w:p w14:paraId="0DCCD306" w14:textId="2D42F1C8" w:rsidR="00246A77" w:rsidRPr="00246A77" w:rsidRDefault="00246A77" w:rsidP="001E7A7A">
      <w:pPr>
        <w:jc w:val="both"/>
        <w:rPr>
          <w:rFonts w:ascii="Cambria" w:eastAsia="MS Mincho" w:hAnsi="Cambria"/>
          <w:lang w:val="sv-SE" w:eastAsia="en-US"/>
        </w:rPr>
      </w:pPr>
      <w:r w:rsidRPr="00246A77">
        <w:rPr>
          <w:rFonts w:ascii="Cambria" w:eastAsia="MS Mincho" w:hAnsi="Cambria"/>
          <w:lang w:val="sv-SE" w:eastAsia="en-US"/>
        </w:rPr>
        <w:t xml:space="preserve">Hur olika typer av vårdgivare – privata vinstdrivande, privata icke-vinstdrivande och offentliga – skiljer sig åt, liksom vilken modell – upphandling, vårdval eller offentlig produktion – som är att föredra går inte att avgöra på teoretiska grunder. Det finns många möjliga skillnader och effekter. Vilka av dem som är relevanta och som dominerar måste avgöras av empiriska studier. </w:t>
      </w:r>
    </w:p>
    <w:p w14:paraId="6DA1C77F" w14:textId="77777777" w:rsidR="00246A77" w:rsidRPr="00246A77" w:rsidRDefault="00246A77" w:rsidP="001E7A7A">
      <w:pPr>
        <w:jc w:val="both"/>
        <w:rPr>
          <w:rFonts w:ascii="Cambria" w:eastAsia="MS Mincho" w:hAnsi="Cambria"/>
          <w:lang w:val="sv-SE" w:eastAsia="en-US"/>
        </w:rPr>
      </w:pPr>
    </w:p>
    <w:p w14:paraId="726F3836" w14:textId="77777777" w:rsidR="00246A77" w:rsidRPr="00246A77" w:rsidRDefault="00246A77" w:rsidP="0062772E">
      <w:pPr>
        <w:keepNext/>
        <w:keepLines/>
        <w:numPr>
          <w:ilvl w:val="1"/>
          <w:numId w:val="2"/>
        </w:numPr>
        <w:spacing w:before="200" w:after="160" w:line="259" w:lineRule="auto"/>
        <w:ind w:left="0" w:firstLine="0"/>
        <w:jc w:val="both"/>
        <w:outlineLvl w:val="0"/>
        <w:rPr>
          <w:rFonts w:ascii="Cambria" w:eastAsia="MS Gothic" w:hAnsi="Cambria"/>
          <w:b/>
          <w:bCs/>
          <w:color w:val="345A8A"/>
          <w:lang w:val="sv-SE" w:eastAsia="en-US"/>
        </w:rPr>
      </w:pPr>
      <w:bookmarkStart w:id="15" w:name="_Toc162017216"/>
      <w:bookmarkStart w:id="16" w:name="_Toc164353527"/>
      <w:r w:rsidRPr="00246A77">
        <w:rPr>
          <w:rFonts w:ascii="Cambria" w:eastAsia="MS Gothic" w:hAnsi="Cambria"/>
          <w:b/>
          <w:bCs/>
          <w:color w:val="345A8A"/>
          <w:lang w:val="sv-SE" w:eastAsia="en-US"/>
        </w:rPr>
        <w:t>Internationella studier</w:t>
      </w:r>
      <w:bookmarkEnd w:id="15"/>
      <w:bookmarkEnd w:id="16"/>
    </w:p>
    <w:p w14:paraId="511E5AB5" w14:textId="46FF57AA" w:rsidR="00246A77" w:rsidRPr="00246A77" w:rsidRDefault="00246A77" w:rsidP="0062772E">
      <w:pPr>
        <w:jc w:val="both"/>
        <w:rPr>
          <w:rFonts w:ascii="Cambria" w:eastAsia="MS Mincho" w:hAnsi="Cambria"/>
          <w:lang w:val="sv-SE" w:eastAsia="en-US"/>
        </w:rPr>
      </w:pPr>
      <w:r w:rsidRPr="00246A77">
        <w:rPr>
          <w:rFonts w:ascii="Cambria" w:eastAsia="MS Mincho" w:hAnsi="Cambria"/>
          <w:lang w:val="sv-SE" w:eastAsia="en-US"/>
        </w:rPr>
        <w:t xml:space="preserve">Det finns relativt många </w:t>
      </w:r>
      <w:r w:rsidR="0063014E">
        <w:rPr>
          <w:rFonts w:ascii="Cambria" w:eastAsia="MS Mincho" w:hAnsi="Cambria"/>
          <w:lang w:val="sv-SE" w:eastAsia="en-US"/>
        </w:rPr>
        <w:t xml:space="preserve">internationella </w:t>
      </w:r>
      <w:r w:rsidRPr="00246A77">
        <w:rPr>
          <w:rFonts w:ascii="Cambria" w:eastAsia="MS Mincho" w:hAnsi="Cambria"/>
          <w:lang w:val="sv-SE" w:eastAsia="en-US"/>
        </w:rPr>
        <w:t xml:space="preserve">studier </w:t>
      </w:r>
      <w:r w:rsidR="0058028A">
        <w:rPr>
          <w:rFonts w:ascii="Cambria" w:eastAsia="MS Mincho" w:hAnsi="Cambria"/>
          <w:lang w:val="sv-SE" w:eastAsia="en-US"/>
        </w:rPr>
        <w:t>som studerar betydelsen av äga</w:t>
      </w:r>
      <w:r w:rsidR="00101FB6">
        <w:rPr>
          <w:rFonts w:ascii="Cambria" w:eastAsia="MS Mincho" w:hAnsi="Cambria"/>
          <w:lang w:val="sv-SE" w:eastAsia="en-US"/>
        </w:rPr>
        <w:t>nde</w:t>
      </w:r>
      <w:r w:rsidR="0058028A">
        <w:rPr>
          <w:rFonts w:ascii="Cambria" w:eastAsia="MS Mincho" w:hAnsi="Cambria"/>
          <w:lang w:val="sv-SE" w:eastAsia="en-US"/>
        </w:rPr>
        <w:t xml:space="preserve">former, konkurrens och vårdval inom sjukvården, men </w:t>
      </w:r>
      <w:r w:rsidR="0063014E">
        <w:rPr>
          <w:rFonts w:ascii="Cambria" w:eastAsia="MS Mincho" w:hAnsi="Cambria"/>
          <w:lang w:val="sv-SE" w:eastAsia="en-US"/>
        </w:rPr>
        <w:t>många av</w:t>
      </w:r>
      <w:r w:rsidR="0058028A">
        <w:rPr>
          <w:rFonts w:ascii="Cambria" w:eastAsia="MS Mincho" w:hAnsi="Cambria"/>
          <w:lang w:val="sv-SE" w:eastAsia="en-US"/>
        </w:rPr>
        <w:t xml:space="preserve"> dessa är inte tillräckligt metodologiskt starka för att dra slutsatser om orsakssamband.</w:t>
      </w:r>
      <w:r w:rsidRPr="00246A77">
        <w:rPr>
          <w:rFonts w:ascii="Cambria" w:eastAsia="MS Mincho" w:hAnsi="Cambria"/>
          <w:lang w:val="sv-SE" w:eastAsia="en-US"/>
        </w:rPr>
        <w:t xml:space="preserve"> Vi går här igenom </w:t>
      </w:r>
      <w:r w:rsidR="00101FB6">
        <w:rPr>
          <w:rFonts w:ascii="Cambria" w:eastAsia="MS Mincho" w:hAnsi="Cambria"/>
          <w:lang w:val="sv-SE" w:eastAsia="en-US"/>
        </w:rPr>
        <w:t xml:space="preserve">ett antal </w:t>
      </w:r>
      <w:r w:rsidRPr="00246A77">
        <w:rPr>
          <w:rFonts w:ascii="Cambria" w:eastAsia="MS Mincho" w:hAnsi="Cambria"/>
          <w:lang w:val="sv-SE" w:eastAsia="en-US"/>
        </w:rPr>
        <w:t>studier som är särskilt relevanta. Även om sjukvården i andra länder kan skilja sig betydligt från den i Sverige kan generella tendenser ändå framträda.</w:t>
      </w:r>
      <w:r w:rsidR="00941AA8">
        <w:rPr>
          <w:rFonts w:ascii="Cambria" w:eastAsia="MS Mincho" w:hAnsi="Cambria"/>
          <w:lang w:val="sv-SE" w:eastAsia="en-US"/>
        </w:rPr>
        <w:t xml:space="preserve"> Vi fokuserar på</w:t>
      </w:r>
      <w:r w:rsidRPr="00246A77">
        <w:rPr>
          <w:rFonts w:ascii="Cambria" w:eastAsia="MS Mincho" w:hAnsi="Cambria"/>
          <w:lang w:val="sv-SE" w:eastAsia="en-US"/>
        </w:rPr>
        <w:t xml:space="preserve"> studier från europeiska länder</w:t>
      </w:r>
      <w:r w:rsidR="00BF0DD7">
        <w:rPr>
          <w:rFonts w:ascii="Cambria" w:eastAsia="MS Mincho" w:hAnsi="Cambria"/>
          <w:lang w:val="sv-SE" w:eastAsia="en-US"/>
        </w:rPr>
        <w:t>,</w:t>
      </w:r>
      <w:r w:rsidRPr="00246A77">
        <w:rPr>
          <w:rFonts w:ascii="Cambria" w:eastAsia="MS Mincho" w:hAnsi="Cambria"/>
          <w:lang w:val="sv-SE" w:eastAsia="en-US"/>
        </w:rPr>
        <w:t xml:space="preserve"> som </w:t>
      </w:r>
      <w:r w:rsidR="00941AA8">
        <w:rPr>
          <w:rFonts w:ascii="Cambria" w:eastAsia="MS Mincho" w:hAnsi="Cambria"/>
          <w:lang w:val="sv-SE" w:eastAsia="en-US"/>
        </w:rPr>
        <w:t xml:space="preserve">över lag </w:t>
      </w:r>
      <w:r w:rsidRPr="00246A77">
        <w:rPr>
          <w:rFonts w:ascii="Cambria" w:eastAsia="MS Mincho" w:hAnsi="Cambria"/>
          <w:lang w:val="sv-SE" w:eastAsia="en-US"/>
        </w:rPr>
        <w:t xml:space="preserve">har </w:t>
      </w:r>
      <w:r w:rsidR="00AF2C2C">
        <w:rPr>
          <w:rFonts w:ascii="Cambria" w:eastAsia="MS Mincho" w:hAnsi="Cambria"/>
          <w:lang w:val="sv-SE" w:eastAsia="en-US"/>
        </w:rPr>
        <w:t>mycket</w:t>
      </w:r>
      <w:r w:rsidR="00AF2C2C" w:rsidRPr="00246A77">
        <w:rPr>
          <w:rFonts w:ascii="Cambria" w:eastAsia="MS Mincho" w:hAnsi="Cambria"/>
          <w:lang w:val="sv-SE" w:eastAsia="en-US"/>
        </w:rPr>
        <w:t xml:space="preserve"> </w:t>
      </w:r>
      <w:r w:rsidRPr="00246A77">
        <w:rPr>
          <w:rFonts w:ascii="Cambria" w:eastAsia="MS Mincho" w:hAnsi="Cambria"/>
          <w:lang w:val="sv-SE" w:eastAsia="en-US"/>
        </w:rPr>
        <w:t>gemensamt med svensk sjukvår</w:t>
      </w:r>
      <w:r w:rsidR="00941AA8">
        <w:rPr>
          <w:rFonts w:ascii="Cambria" w:eastAsia="MS Mincho" w:hAnsi="Cambria"/>
          <w:lang w:val="sv-SE" w:eastAsia="en-US"/>
        </w:rPr>
        <w:t>d</w:t>
      </w:r>
      <w:r w:rsidR="00AF2C2C">
        <w:rPr>
          <w:rFonts w:ascii="Cambria" w:eastAsia="MS Mincho" w:hAnsi="Cambria"/>
          <w:lang w:val="sv-SE" w:eastAsia="en-US"/>
        </w:rPr>
        <w:t xml:space="preserve">. Skillnaderna mellan svensk och </w:t>
      </w:r>
      <w:r w:rsidR="008A0E05">
        <w:rPr>
          <w:rFonts w:ascii="Cambria" w:eastAsia="MS Mincho" w:hAnsi="Cambria"/>
          <w:lang w:val="sv-SE" w:eastAsia="en-US"/>
        </w:rPr>
        <w:t>amerikansk</w:t>
      </w:r>
      <w:r w:rsidR="00AF2C2C">
        <w:rPr>
          <w:rFonts w:ascii="Cambria" w:eastAsia="MS Mincho" w:hAnsi="Cambria"/>
          <w:lang w:val="sv-SE" w:eastAsia="en-US"/>
        </w:rPr>
        <w:t xml:space="preserve"> sjukvård är betydligt större, inte minst när det gäller vårdens finansiering</w:t>
      </w:r>
      <w:r w:rsidRPr="00246A77">
        <w:rPr>
          <w:rFonts w:ascii="Cambria" w:eastAsia="MS Mincho" w:hAnsi="Cambria"/>
          <w:lang w:val="sv-SE" w:eastAsia="en-US"/>
        </w:rPr>
        <w:t>.</w:t>
      </w:r>
      <w:r w:rsidR="00941AA8">
        <w:rPr>
          <w:rStyle w:val="Fotnotsreferens"/>
          <w:rFonts w:ascii="Cambria" w:eastAsia="MS Mincho" w:hAnsi="Cambria"/>
          <w:lang w:val="sv-SE" w:eastAsia="en-US"/>
        </w:rPr>
        <w:footnoteReference w:id="12"/>
      </w:r>
    </w:p>
    <w:p w14:paraId="39D686AC" w14:textId="77777777" w:rsidR="00246A77" w:rsidRPr="00246A77" w:rsidRDefault="00246A77" w:rsidP="0062772E">
      <w:pPr>
        <w:jc w:val="both"/>
        <w:rPr>
          <w:rFonts w:ascii="Cambria" w:eastAsia="MS Mincho" w:hAnsi="Cambria"/>
          <w:lang w:val="sv-SE" w:eastAsia="en-US"/>
        </w:rPr>
      </w:pPr>
    </w:p>
    <w:p w14:paraId="7F35CE54" w14:textId="5847A152" w:rsidR="00874306" w:rsidRPr="00CF5C33" w:rsidRDefault="007578D6" w:rsidP="001E7A7A">
      <w:pPr>
        <w:jc w:val="both"/>
        <w:rPr>
          <w:lang w:val="sv-SE"/>
        </w:rPr>
      </w:pPr>
      <w:r>
        <w:rPr>
          <w:rFonts w:ascii="Cambria" w:eastAsia="MS Mincho" w:hAnsi="Cambria"/>
          <w:lang w:val="sv-SE" w:eastAsia="en-US"/>
        </w:rPr>
        <w:t>En hel del</w:t>
      </w:r>
      <w:r w:rsidR="0063014E">
        <w:rPr>
          <w:rFonts w:ascii="Cambria" w:eastAsia="MS Mincho" w:hAnsi="Cambria"/>
          <w:lang w:val="sv-SE" w:eastAsia="en-US"/>
        </w:rPr>
        <w:t xml:space="preserve"> forskning har studerat olika </w:t>
      </w:r>
      <w:r w:rsidR="0063014E" w:rsidRPr="00246A77">
        <w:rPr>
          <w:rFonts w:ascii="Cambria" w:eastAsia="MS Mincho" w:hAnsi="Cambria"/>
          <w:lang w:val="sv-SE" w:eastAsia="en-US"/>
        </w:rPr>
        <w:t xml:space="preserve">konkurrenshöjande </w:t>
      </w:r>
      <w:r w:rsidR="0063014E">
        <w:rPr>
          <w:rFonts w:ascii="Cambria" w:eastAsia="MS Mincho" w:hAnsi="Cambria"/>
          <w:lang w:val="sv-SE" w:eastAsia="en-US"/>
        </w:rPr>
        <w:t xml:space="preserve">reformer inom den engelska sjukvården. </w:t>
      </w:r>
      <w:r w:rsidR="00246A77" w:rsidRPr="00246A77">
        <w:rPr>
          <w:rFonts w:ascii="Cambria" w:eastAsia="MS Mincho" w:hAnsi="Cambria"/>
          <w:lang w:val="sv-SE" w:eastAsia="en-US"/>
        </w:rPr>
        <w:t xml:space="preserve">Forskning av bland andra </w:t>
      </w:r>
      <w:proofErr w:type="spellStart"/>
      <w:r w:rsidR="00246A77" w:rsidRPr="00246A77">
        <w:rPr>
          <w:rFonts w:ascii="Cambria" w:eastAsia="MS Mincho" w:hAnsi="Cambria"/>
          <w:lang w:val="sv-SE" w:eastAsia="en-US"/>
        </w:rPr>
        <w:t>Propper</w:t>
      </w:r>
      <w:proofErr w:type="spellEnd"/>
      <w:r w:rsidR="00246A77" w:rsidRPr="00246A77">
        <w:rPr>
          <w:rFonts w:ascii="Cambria" w:eastAsia="MS Mincho" w:hAnsi="Cambria"/>
          <w:lang w:val="sv-SE" w:eastAsia="en-US"/>
        </w:rPr>
        <w:t xml:space="preserve"> (2018, s. 504) talar för att effekterna </w:t>
      </w:r>
      <w:r w:rsidR="0063014E">
        <w:rPr>
          <w:rFonts w:ascii="Cambria" w:eastAsia="MS Mincho" w:hAnsi="Cambria"/>
          <w:lang w:val="sv-SE" w:eastAsia="en-US"/>
        </w:rPr>
        <w:t>av dessa</w:t>
      </w:r>
      <w:r w:rsidR="00246A77" w:rsidRPr="00246A77">
        <w:rPr>
          <w:rFonts w:ascii="Cambria" w:eastAsia="MS Mincho" w:hAnsi="Cambria"/>
          <w:lang w:val="sv-SE" w:eastAsia="en-US"/>
        </w:rPr>
        <w:t xml:space="preserve"> </w:t>
      </w:r>
      <w:r w:rsidR="00C805B6">
        <w:rPr>
          <w:rFonts w:ascii="Cambria" w:eastAsia="MS Mincho" w:hAnsi="Cambria"/>
          <w:lang w:val="sv-SE" w:eastAsia="en-US"/>
        </w:rPr>
        <w:t xml:space="preserve">reformer </w:t>
      </w:r>
      <w:r w:rsidR="00246A77" w:rsidRPr="00246A77">
        <w:rPr>
          <w:rFonts w:ascii="Cambria" w:eastAsia="MS Mincho" w:hAnsi="Cambria"/>
          <w:lang w:val="sv-SE" w:eastAsia="en-US"/>
        </w:rPr>
        <w:t xml:space="preserve">huvudsakligen har varit positiva: </w:t>
      </w:r>
    </w:p>
    <w:p w14:paraId="2CAA019E" w14:textId="77777777" w:rsidR="00874306" w:rsidRPr="00CF5C33" w:rsidRDefault="00874306" w:rsidP="001E7A7A">
      <w:pPr>
        <w:jc w:val="both"/>
        <w:rPr>
          <w:lang w:val="sv-SE"/>
        </w:rPr>
      </w:pPr>
    </w:p>
    <w:p w14:paraId="66A6FBCF" w14:textId="6AC29BD4" w:rsidR="00874306" w:rsidRPr="00CF5C33" w:rsidRDefault="00EE6033" w:rsidP="00CF5C33">
      <w:pPr>
        <w:ind w:left="567" w:right="567"/>
        <w:jc w:val="both"/>
        <w:rPr>
          <w:rFonts w:ascii="Cambria" w:eastAsia="MS Mincho" w:hAnsi="Cambria"/>
          <w:lang w:val="sv-SE" w:eastAsia="en-US"/>
        </w:rPr>
      </w:pPr>
      <w:r>
        <w:rPr>
          <w:rFonts w:ascii="Cambria" w:eastAsia="MS Mincho" w:hAnsi="Cambria"/>
          <w:lang w:val="sv-SE" w:eastAsia="en-US"/>
        </w:rPr>
        <w:t>[D]</w:t>
      </w:r>
      <w:proofErr w:type="gramStart"/>
      <w:r w:rsidR="00874306" w:rsidRPr="00874306">
        <w:rPr>
          <w:rFonts w:ascii="Cambria" w:eastAsia="MS Mincho" w:hAnsi="Cambria"/>
          <w:lang w:val="sv-SE" w:eastAsia="en-US"/>
        </w:rPr>
        <w:t>e</w:t>
      </w:r>
      <w:proofErr w:type="gramEnd"/>
      <w:r w:rsidR="00874306" w:rsidRPr="00874306">
        <w:rPr>
          <w:rFonts w:ascii="Cambria" w:eastAsia="MS Mincho" w:hAnsi="Cambria"/>
          <w:lang w:val="sv-SE" w:eastAsia="en-US"/>
        </w:rPr>
        <w:t xml:space="preserve"> konkurrensfrämjande åtgärder som genomförts av den brittiska regeringen och implementerats i England har </w:t>
      </w:r>
      <w:r w:rsidR="00874306">
        <w:rPr>
          <w:rFonts w:ascii="Cambria" w:eastAsia="MS Mincho" w:hAnsi="Cambria"/>
          <w:lang w:val="sv-SE" w:eastAsia="en-US"/>
        </w:rPr>
        <w:t xml:space="preserve">generellt </w:t>
      </w:r>
      <w:r w:rsidR="00874306" w:rsidRPr="00874306">
        <w:rPr>
          <w:rFonts w:ascii="Cambria" w:eastAsia="MS Mincho" w:hAnsi="Cambria"/>
          <w:lang w:val="sv-SE" w:eastAsia="en-US"/>
        </w:rPr>
        <w:t xml:space="preserve">haft positiva effekter. Sammanfattningsvis har patienter och sjukhus svarat på ett sätt som tyder på att patienter bryr sig om kvalitet och </w:t>
      </w:r>
      <w:r w:rsidR="00AE1462">
        <w:rPr>
          <w:rFonts w:ascii="Cambria" w:eastAsia="MS Mincho" w:hAnsi="Cambria"/>
          <w:lang w:val="sv-SE" w:eastAsia="en-US"/>
        </w:rPr>
        <w:t xml:space="preserve">att </w:t>
      </w:r>
      <w:r w:rsidR="00874306" w:rsidRPr="00874306">
        <w:rPr>
          <w:rFonts w:ascii="Cambria" w:eastAsia="MS Mincho" w:hAnsi="Cambria"/>
          <w:lang w:val="sv-SE" w:eastAsia="en-US"/>
        </w:rPr>
        <w:t xml:space="preserve">sjukhus svarar på efterfrågan. Bättre sjukhus har lockat fler patienter, kvaliteten på vissa tjänster har ökat, </w:t>
      </w:r>
      <w:r w:rsidR="00874306">
        <w:rPr>
          <w:rFonts w:ascii="Cambria" w:eastAsia="MS Mincho" w:hAnsi="Cambria"/>
          <w:lang w:val="sv-SE" w:eastAsia="en-US"/>
        </w:rPr>
        <w:lastRenderedPageBreak/>
        <w:t xml:space="preserve">politiken </w:t>
      </w:r>
      <w:r w:rsidR="00874306" w:rsidRPr="00874306">
        <w:rPr>
          <w:rFonts w:ascii="Cambria" w:eastAsia="MS Mincho" w:hAnsi="Cambria"/>
          <w:lang w:val="sv-SE" w:eastAsia="en-US"/>
        </w:rPr>
        <w:t xml:space="preserve">verkar inte ha </w:t>
      </w:r>
      <w:r w:rsidR="00874306">
        <w:rPr>
          <w:rFonts w:ascii="Cambria" w:eastAsia="MS Mincho" w:hAnsi="Cambria"/>
          <w:lang w:val="sv-SE" w:eastAsia="en-US"/>
        </w:rPr>
        <w:t>lett till större jämlikhetsproblem</w:t>
      </w:r>
      <w:r w:rsidR="00874306" w:rsidRPr="00874306">
        <w:rPr>
          <w:rFonts w:ascii="Cambria" w:eastAsia="MS Mincho" w:hAnsi="Cambria"/>
          <w:lang w:val="sv-SE" w:eastAsia="en-US"/>
        </w:rPr>
        <w:t>, och alternativ</w:t>
      </w:r>
      <w:r w:rsidR="00874306">
        <w:rPr>
          <w:rFonts w:ascii="Cambria" w:eastAsia="MS Mincho" w:hAnsi="Cambria"/>
          <w:lang w:val="sv-SE" w:eastAsia="en-US"/>
        </w:rPr>
        <w:t>a</w:t>
      </w:r>
      <w:r w:rsidR="00874306" w:rsidRPr="00874306">
        <w:rPr>
          <w:rFonts w:ascii="Cambria" w:eastAsia="MS Mincho" w:hAnsi="Cambria"/>
          <w:lang w:val="sv-SE" w:eastAsia="en-US"/>
        </w:rPr>
        <w:t xml:space="preserve"> strategi</w:t>
      </w:r>
      <w:r w:rsidR="00874306">
        <w:rPr>
          <w:rFonts w:ascii="Cambria" w:eastAsia="MS Mincho" w:hAnsi="Cambria"/>
          <w:lang w:val="sv-SE" w:eastAsia="en-US"/>
        </w:rPr>
        <w:t>er med fokus på</w:t>
      </w:r>
      <w:r w:rsidR="00874306" w:rsidRPr="00874306">
        <w:rPr>
          <w:rFonts w:ascii="Cambria" w:eastAsia="MS Mincho" w:hAnsi="Cambria"/>
          <w:lang w:val="sv-SE" w:eastAsia="en-US"/>
        </w:rPr>
        <w:t xml:space="preserve"> konsolidering har inte medfört fördelar på medellång sikt</w:t>
      </w:r>
      <w:r w:rsidR="00CF5C33">
        <w:rPr>
          <w:rFonts w:ascii="Cambria" w:eastAsia="MS Mincho" w:hAnsi="Cambria"/>
          <w:lang w:val="sv-SE" w:eastAsia="en-US"/>
        </w:rPr>
        <w:t xml:space="preserve"> [vår översättning]</w:t>
      </w:r>
      <w:r w:rsidR="00246A77" w:rsidRPr="00CF5C33">
        <w:rPr>
          <w:rFonts w:ascii="Cambria" w:eastAsia="MS Mincho" w:hAnsi="Cambria"/>
          <w:lang w:val="sv-SE" w:eastAsia="en-US"/>
        </w:rPr>
        <w:t>.</w:t>
      </w:r>
      <w:r w:rsidR="007305E6">
        <w:rPr>
          <w:rStyle w:val="Fotnotsreferens"/>
          <w:rFonts w:ascii="Cambria" w:eastAsia="MS Mincho" w:hAnsi="Cambria"/>
          <w:lang w:val="sv-SE" w:eastAsia="en-US"/>
        </w:rPr>
        <w:footnoteReference w:id="13"/>
      </w:r>
    </w:p>
    <w:p w14:paraId="7D4DC390" w14:textId="77777777" w:rsidR="00874306" w:rsidRPr="00CF5C33" w:rsidRDefault="00874306" w:rsidP="001E7A7A">
      <w:pPr>
        <w:jc w:val="both"/>
        <w:rPr>
          <w:rFonts w:ascii="Cambria" w:eastAsia="MS Mincho" w:hAnsi="Cambria"/>
          <w:lang w:val="sv-SE" w:eastAsia="en-US"/>
        </w:rPr>
      </w:pPr>
    </w:p>
    <w:p w14:paraId="746A63EC" w14:textId="52AA1D4C" w:rsidR="00246A77" w:rsidRPr="00246A77" w:rsidRDefault="000C588E" w:rsidP="0062772E">
      <w:pPr>
        <w:jc w:val="both"/>
        <w:rPr>
          <w:rFonts w:ascii="Cambria" w:eastAsia="MS Mincho" w:hAnsi="Cambria"/>
          <w:lang w:val="sv-SE" w:eastAsia="en-US"/>
        </w:rPr>
      </w:pPr>
      <w:r>
        <w:rPr>
          <w:rFonts w:ascii="Cambria" w:eastAsia="MS Mincho" w:hAnsi="Cambria"/>
          <w:lang w:val="sv-SE" w:eastAsia="en-US"/>
        </w:rPr>
        <w:t xml:space="preserve">Ett </w:t>
      </w:r>
      <w:r w:rsidR="00CC382E">
        <w:rPr>
          <w:rFonts w:ascii="Cambria" w:eastAsia="MS Mincho" w:hAnsi="Cambria"/>
          <w:lang w:val="sv-SE" w:eastAsia="en-US"/>
        </w:rPr>
        <w:t xml:space="preserve">för den här rapporten </w:t>
      </w:r>
      <w:r w:rsidR="007578D6">
        <w:rPr>
          <w:rFonts w:ascii="Cambria" w:eastAsia="MS Mincho" w:hAnsi="Cambria"/>
          <w:lang w:val="sv-SE" w:eastAsia="en-US"/>
        </w:rPr>
        <w:t xml:space="preserve">relevant </w:t>
      </w:r>
      <w:r>
        <w:rPr>
          <w:rFonts w:ascii="Cambria" w:eastAsia="MS Mincho" w:hAnsi="Cambria"/>
          <w:lang w:val="sv-SE" w:eastAsia="en-US"/>
        </w:rPr>
        <w:t xml:space="preserve">exempel på detta är att konkurrens från privata, vinstdrivande </w:t>
      </w:r>
      <w:r w:rsidR="000F4E7C">
        <w:rPr>
          <w:rFonts w:ascii="Cambria" w:eastAsia="MS Mincho" w:hAnsi="Cambria"/>
          <w:lang w:val="sv-SE" w:eastAsia="en-US"/>
        </w:rPr>
        <w:t>kirurgiska</w:t>
      </w:r>
      <w:r>
        <w:rPr>
          <w:rFonts w:ascii="Cambria" w:eastAsia="MS Mincho" w:hAnsi="Cambria"/>
          <w:lang w:val="sv-SE" w:eastAsia="en-US"/>
        </w:rPr>
        <w:t xml:space="preserve"> kliniker ökade </w:t>
      </w:r>
      <w:r w:rsidR="00EE72D0">
        <w:rPr>
          <w:rFonts w:ascii="Cambria" w:eastAsia="MS Mincho" w:hAnsi="Cambria"/>
          <w:lang w:val="sv-SE" w:eastAsia="en-US"/>
        </w:rPr>
        <w:t>effektiviteten</w:t>
      </w:r>
      <w:r>
        <w:rPr>
          <w:rFonts w:ascii="Cambria" w:eastAsia="MS Mincho" w:hAnsi="Cambria"/>
          <w:lang w:val="sv-SE" w:eastAsia="en-US"/>
        </w:rPr>
        <w:t xml:space="preserve"> i offentligt drivna sjukhus vad gäller knä- och höft</w:t>
      </w:r>
      <w:r w:rsidR="00497FDA">
        <w:rPr>
          <w:rFonts w:ascii="Cambria" w:eastAsia="MS Mincho" w:hAnsi="Cambria"/>
          <w:lang w:val="sv-SE" w:eastAsia="en-US"/>
        </w:rPr>
        <w:t>leds</w:t>
      </w:r>
      <w:r>
        <w:rPr>
          <w:rFonts w:ascii="Cambria" w:eastAsia="MS Mincho" w:hAnsi="Cambria"/>
          <w:lang w:val="sv-SE" w:eastAsia="en-US"/>
        </w:rPr>
        <w:t xml:space="preserve">operationer, </w:t>
      </w:r>
      <w:r w:rsidR="00EE72D0">
        <w:rPr>
          <w:rFonts w:ascii="Cambria" w:eastAsia="MS Mincho" w:hAnsi="Cambria"/>
          <w:lang w:val="sv-SE" w:eastAsia="en-US"/>
        </w:rPr>
        <w:t xml:space="preserve">utan att ha negativa effekter på kvaliteten </w:t>
      </w:r>
      <w:r>
        <w:rPr>
          <w:rFonts w:ascii="Cambria" w:eastAsia="MS Mincho" w:hAnsi="Cambria"/>
          <w:lang w:val="sv-SE" w:eastAsia="en-US"/>
        </w:rPr>
        <w:t xml:space="preserve">(Cooper </w:t>
      </w:r>
      <w:proofErr w:type="gramStart"/>
      <w:r>
        <w:rPr>
          <w:rFonts w:ascii="Cambria" w:eastAsia="MS Mincho" w:hAnsi="Cambria"/>
          <w:lang w:val="sv-SE" w:eastAsia="en-US"/>
        </w:rPr>
        <w:t>m.fl.</w:t>
      </w:r>
      <w:proofErr w:type="gramEnd"/>
      <w:r>
        <w:rPr>
          <w:rFonts w:ascii="Cambria" w:eastAsia="MS Mincho" w:hAnsi="Cambria"/>
          <w:lang w:val="sv-SE" w:eastAsia="en-US"/>
        </w:rPr>
        <w:t xml:space="preserve"> 2018).</w:t>
      </w:r>
      <w:r w:rsidR="00051B60">
        <w:rPr>
          <w:rStyle w:val="Fotnotsreferens"/>
          <w:rFonts w:ascii="Cambria" w:eastAsia="MS Mincho" w:hAnsi="Cambria"/>
          <w:lang w:val="sv-SE" w:eastAsia="en-US"/>
        </w:rPr>
        <w:footnoteReference w:id="14"/>
      </w:r>
      <w:r>
        <w:rPr>
          <w:rFonts w:ascii="Cambria" w:eastAsia="MS Mincho" w:hAnsi="Cambria"/>
          <w:lang w:val="sv-SE" w:eastAsia="en-US"/>
        </w:rPr>
        <w:t xml:space="preserve"> </w:t>
      </w:r>
      <w:r w:rsidR="007001C5">
        <w:rPr>
          <w:rFonts w:ascii="Cambria" w:eastAsia="MS Mincho" w:hAnsi="Cambria"/>
          <w:lang w:val="sv-SE" w:eastAsia="en-US"/>
        </w:rPr>
        <w:t xml:space="preserve">Ett annat exempel är </w:t>
      </w:r>
      <w:r w:rsidR="007976AD">
        <w:rPr>
          <w:rFonts w:ascii="Cambria" w:eastAsia="MS Mincho" w:hAnsi="Cambria"/>
          <w:lang w:val="sv-SE" w:eastAsia="en-US"/>
        </w:rPr>
        <w:t xml:space="preserve">att </w:t>
      </w:r>
      <w:r w:rsidR="00497FDA">
        <w:rPr>
          <w:rFonts w:ascii="Cambria" w:eastAsia="MS Mincho" w:hAnsi="Cambria"/>
          <w:lang w:val="sv-SE" w:eastAsia="en-US"/>
        </w:rPr>
        <w:t>vårdval</w:t>
      </w:r>
      <w:r w:rsidR="00847EF4">
        <w:rPr>
          <w:rFonts w:ascii="Cambria" w:eastAsia="MS Mincho" w:hAnsi="Cambria"/>
          <w:lang w:val="sv-SE" w:eastAsia="en-US"/>
        </w:rPr>
        <w:t xml:space="preserve"> till privata utförare</w:t>
      </w:r>
      <w:r w:rsidR="00497FDA">
        <w:rPr>
          <w:rFonts w:ascii="Cambria" w:eastAsia="MS Mincho" w:hAnsi="Cambria"/>
          <w:lang w:val="sv-SE" w:eastAsia="en-US"/>
        </w:rPr>
        <w:t xml:space="preserve"> inom planerad kirurgi</w:t>
      </w:r>
      <w:r w:rsidR="007001C5">
        <w:rPr>
          <w:rFonts w:ascii="Cambria" w:eastAsia="MS Mincho" w:hAnsi="Cambria"/>
          <w:lang w:val="sv-SE" w:eastAsia="en-US"/>
        </w:rPr>
        <w:t xml:space="preserve"> ökade </w:t>
      </w:r>
      <w:r w:rsidR="00497FDA">
        <w:rPr>
          <w:rFonts w:ascii="Cambria" w:eastAsia="MS Mincho" w:hAnsi="Cambria"/>
          <w:lang w:val="sv-SE" w:eastAsia="en-US"/>
        </w:rPr>
        <w:t xml:space="preserve">de totala </w:t>
      </w:r>
      <w:r w:rsidR="007001C5">
        <w:rPr>
          <w:rFonts w:ascii="Cambria" w:eastAsia="MS Mincho" w:hAnsi="Cambria"/>
          <w:lang w:val="sv-SE" w:eastAsia="en-US"/>
        </w:rPr>
        <w:t xml:space="preserve">volymerna inom </w:t>
      </w:r>
      <w:r w:rsidR="00497FDA">
        <w:rPr>
          <w:rFonts w:ascii="Cambria" w:eastAsia="MS Mincho" w:hAnsi="Cambria"/>
          <w:lang w:val="sv-SE" w:eastAsia="en-US"/>
        </w:rPr>
        <w:t xml:space="preserve">höftledsoperationer, vilket </w:t>
      </w:r>
      <w:r w:rsidR="00404EE9">
        <w:rPr>
          <w:rFonts w:ascii="Cambria" w:eastAsia="MS Mincho" w:hAnsi="Cambria"/>
          <w:lang w:val="sv-SE" w:eastAsia="en-US"/>
        </w:rPr>
        <w:t>ledde till kortare</w:t>
      </w:r>
      <w:r w:rsidR="00497FDA">
        <w:rPr>
          <w:rFonts w:ascii="Cambria" w:eastAsia="MS Mincho" w:hAnsi="Cambria"/>
          <w:lang w:val="sv-SE" w:eastAsia="en-US"/>
        </w:rPr>
        <w:t xml:space="preserve"> </w:t>
      </w:r>
      <w:r w:rsidR="007976AD">
        <w:rPr>
          <w:rFonts w:ascii="Cambria" w:eastAsia="MS Mincho" w:hAnsi="Cambria"/>
          <w:lang w:val="sv-SE" w:eastAsia="en-US"/>
        </w:rPr>
        <w:t>vårdköer</w:t>
      </w:r>
      <w:r w:rsidR="00497FDA">
        <w:rPr>
          <w:rFonts w:ascii="Cambria" w:eastAsia="MS Mincho" w:hAnsi="Cambria"/>
          <w:lang w:val="sv-SE" w:eastAsia="en-US"/>
        </w:rPr>
        <w:t xml:space="preserve">. Samtidigt finns inga effekter på volymerna </w:t>
      </w:r>
      <w:r w:rsidR="007976AD">
        <w:rPr>
          <w:rFonts w:ascii="Cambria" w:eastAsia="MS Mincho" w:hAnsi="Cambria"/>
          <w:lang w:val="sv-SE" w:eastAsia="en-US"/>
        </w:rPr>
        <w:t>i</w:t>
      </w:r>
      <w:r w:rsidR="00497FDA">
        <w:rPr>
          <w:rFonts w:ascii="Cambria" w:eastAsia="MS Mincho" w:hAnsi="Cambria"/>
          <w:lang w:val="sv-SE" w:eastAsia="en-US"/>
        </w:rPr>
        <w:t xml:space="preserve"> offentliga sjukhus</w:t>
      </w:r>
      <w:r w:rsidR="007976AD">
        <w:rPr>
          <w:rFonts w:ascii="Cambria" w:eastAsia="MS Mincho" w:hAnsi="Cambria"/>
          <w:lang w:val="sv-SE" w:eastAsia="en-US"/>
        </w:rPr>
        <w:t xml:space="preserve"> specifikt</w:t>
      </w:r>
      <w:r w:rsidR="00497FDA">
        <w:rPr>
          <w:rFonts w:ascii="Cambria" w:eastAsia="MS Mincho" w:hAnsi="Cambria"/>
          <w:lang w:val="sv-SE" w:eastAsia="en-US"/>
        </w:rPr>
        <w:t xml:space="preserve"> och</w:t>
      </w:r>
      <w:r w:rsidR="00BE665D">
        <w:rPr>
          <w:rFonts w:ascii="Cambria" w:eastAsia="MS Mincho" w:hAnsi="Cambria"/>
          <w:lang w:val="sv-SE" w:eastAsia="en-US"/>
        </w:rPr>
        <w:t xml:space="preserve"> (sannolikt därför)</w:t>
      </w:r>
      <w:r w:rsidR="00497FDA">
        <w:rPr>
          <w:rFonts w:ascii="Cambria" w:eastAsia="MS Mincho" w:hAnsi="Cambria"/>
          <w:lang w:val="sv-SE" w:eastAsia="en-US"/>
        </w:rPr>
        <w:t xml:space="preserve"> inte heller någon effekt på kvaliteten</w:t>
      </w:r>
      <w:r w:rsidR="007976AD">
        <w:rPr>
          <w:rFonts w:ascii="Cambria" w:eastAsia="MS Mincho" w:hAnsi="Cambria"/>
          <w:lang w:val="sv-SE" w:eastAsia="en-US"/>
        </w:rPr>
        <w:t xml:space="preserve"> totalt sett</w:t>
      </w:r>
      <w:r w:rsidR="00BE665D">
        <w:rPr>
          <w:rFonts w:ascii="Cambria" w:eastAsia="MS Mincho" w:hAnsi="Cambria"/>
          <w:lang w:val="sv-SE" w:eastAsia="en-US"/>
        </w:rPr>
        <w:t xml:space="preserve"> </w:t>
      </w:r>
      <w:r w:rsidR="007976AD">
        <w:rPr>
          <w:rFonts w:ascii="Cambria" w:eastAsia="MS Mincho" w:hAnsi="Cambria"/>
          <w:lang w:val="sv-SE" w:eastAsia="en-US"/>
        </w:rPr>
        <w:t xml:space="preserve">(Kelly och </w:t>
      </w:r>
      <w:proofErr w:type="spellStart"/>
      <w:r w:rsidR="007976AD">
        <w:rPr>
          <w:rFonts w:ascii="Cambria" w:eastAsia="MS Mincho" w:hAnsi="Cambria"/>
          <w:lang w:val="sv-SE" w:eastAsia="en-US"/>
        </w:rPr>
        <w:t>Stoye</w:t>
      </w:r>
      <w:proofErr w:type="spellEnd"/>
      <w:r w:rsidR="007976AD">
        <w:rPr>
          <w:rFonts w:ascii="Cambria" w:eastAsia="MS Mincho" w:hAnsi="Cambria"/>
          <w:lang w:val="sv-SE" w:eastAsia="en-US"/>
        </w:rPr>
        <w:t xml:space="preserve"> 2020).</w:t>
      </w:r>
      <w:r w:rsidR="00BE665D">
        <w:rPr>
          <w:rStyle w:val="Fotnotsreferens"/>
          <w:rFonts w:ascii="Cambria" w:eastAsia="MS Mincho" w:hAnsi="Cambria"/>
          <w:lang w:val="sv-SE" w:eastAsia="en-US"/>
        </w:rPr>
        <w:footnoteReference w:id="15"/>
      </w:r>
      <w:r w:rsidR="007578D6">
        <w:rPr>
          <w:rFonts w:ascii="Cambria" w:eastAsia="MS Mincho" w:hAnsi="Cambria"/>
          <w:lang w:val="sv-SE" w:eastAsia="en-US"/>
        </w:rPr>
        <w:t xml:space="preserve"> </w:t>
      </w:r>
      <w:r w:rsidR="00524C06">
        <w:rPr>
          <w:rFonts w:ascii="Cambria" w:eastAsia="MS Mincho" w:hAnsi="Cambria"/>
          <w:lang w:val="sv-SE" w:eastAsia="en-US"/>
        </w:rPr>
        <w:t>Inte heller</w:t>
      </w:r>
      <w:r w:rsidR="007578D6">
        <w:rPr>
          <w:rFonts w:ascii="Cambria" w:eastAsia="MS Mincho" w:hAnsi="Cambria"/>
          <w:lang w:val="sv-SE" w:eastAsia="en-US"/>
        </w:rPr>
        <w:t xml:space="preserve"> finns det </w:t>
      </w:r>
      <w:r w:rsidR="00524C06">
        <w:rPr>
          <w:rFonts w:ascii="Cambria" w:eastAsia="MS Mincho" w:hAnsi="Cambria"/>
          <w:lang w:val="sv-SE" w:eastAsia="en-US"/>
        </w:rPr>
        <w:t>några</w:t>
      </w:r>
      <w:r w:rsidR="007578D6">
        <w:rPr>
          <w:rFonts w:ascii="Cambria" w:eastAsia="MS Mincho" w:hAnsi="Cambria"/>
          <w:lang w:val="sv-SE" w:eastAsia="en-US"/>
        </w:rPr>
        <w:t xml:space="preserve"> generella skillnader mellan offentliga och privata sjukhus </w:t>
      </w:r>
      <w:r w:rsidR="00EE5F8D">
        <w:rPr>
          <w:rFonts w:ascii="Cambria" w:eastAsia="MS Mincho" w:hAnsi="Cambria"/>
          <w:lang w:val="sv-SE" w:eastAsia="en-US"/>
        </w:rPr>
        <w:t xml:space="preserve">i sig </w:t>
      </w:r>
      <w:r w:rsidR="007578D6">
        <w:rPr>
          <w:rFonts w:ascii="Cambria" w:eastAsia="MS Mincho" w:hAnsi="Cambria"/>
          <w:lang w:val="sv-SE" w:eastAsia="en-US"/>
        </w:rPr>
        <w:t>(vare sig vinst</w:t>
      </w:r>
      <w:r w:rsidR="004A2A91">
        <w:rPr>
          <w:rFonts w:ascii="Cambria" w:eastAsia="MS Mincho" w:hAnsi="Cambria"/>
          <w:lang w:val="sv-SE" w:eastAsia="en-US"/>
        </w:rPr>
        <w:t>drivande</w:t>
      </w:r>
      <w:r w:rsidR="007578D6">
        <w:rPr>
          <w:rFonts w:ascii="Cambria" w:eastAsia="MS Mincho" w:hAnsi="Cambria"/>
          <w:lang w:val="sv-SE" w:eastAsia="en-US"/>
        </w:rPr>
        <w:t xml:space="preserve"> eller icke-vinstdrivande) vad gäller sannolikheten för</w:t>
      </w:r>
      <w:r w:rsidR="009D0573">
        <w:rPr>
          <w:rFonts w:ascii="Cambria" w:eastAsia="MS Mincho" w:hAnsi="Cambria"/>
          <w:lang w:val="sv-SE" w:eastAsia="en-US"/>
        </w:rPr>
        <w:t xml:space="preserve"> </w:t>
      </w:r>
      <w:r w:rsidR="007578D6">
        <w:rPr>
          <w:rFonts w:ascii="Cambria" w:eastAsia="MS Mincho" w:hAnsi="Cambria"/>
          <w:lang w:val="sv-SE" w:eastAsia="en-US"/>
        </w:rPr>
        <w:t xml:space="preserve">inskrivningar på akutmottagningar efter </w:t>
      </w:r>
      <w:proofErr w:type="spellStart"/>
      <w:r w:rsidR="007578D6">
        <w:rPr>
          <w:rFonts w:ascii="Cambria" w:eastAsia="MS Mincho" w:hAnsi="Cambria"/>
          <w:lang w:val="sv-SE" w:eastAsia="en-US"/>
        </w:rPr>
        <w:t>elektiv</w:t>
      </w:r>
      <w:proofErr w:type="spellEnd"/>
      <w:r w:rsidR="007578D6">
        <w:rPr>
          <w:rFonts w:ascii="Cambria" w:eastAsia="MS Mincho" w:hAnsi="Cambria"/>
          <w:lang w:val="sv-SE" w:eastAsia="en-US"/>
        </w:rPr>
        <w:t xml:space="preserve"> vård (Moscelli </w:t>
      </w:r>
      <w:proofErr w:type="gramStart"/>
      <w:r w:rsidR="007578D6">
        <w:rPr>
          <w:rFonts w:ascii="Cambria" w:eastAsia="MS Mincho" w:hAnsi="Cambria"/>
          <w:lang w:val="sv-SE" w:eastAsia="en-US"/>
        </w:rPr>
        <w:t>m.fl.</w:t>
      </w:r>
      <w:proofErr w:type="gramEnd"/>
      <w:r w:rsidR="007578D6">
        <w:rPr>
          <w:rFonts w:ascii="Cambria" w:eastAsia="MS Mincho" w:hAnsi="Cambria"/>
          <w:lang w:val="sv-SE" w:eastAsia="en-US"/>
        </w:rPr>
        <w:t xml:space="preserve"> 2018).</w:t>
      </w:r>
      <w:r w:rsidR="001C78B3">
        <w:rPr>
          <w:rStyle w:val="Fotnotsreferens"/>
          <w:rFonts w:ascii="Cambria" w:eastAsia="MS Mincho" w:hAnsi="Cambria"/>
          <w:lang w:val="sv-SE" w:eastAsia="en-US"/>
        </w:rPr>
        <w:footnoteReference w:id="16"/>
      </w:r>
    </w:p>
    <w:p w14:paraId="7701A605" w14:textId="77777777" w:rsidR="00246A77" w:rsidRPr="00246A77" w:rsidRDefault="00246A77" w:rsidP="0062772E">
      <w:pPr>
        <w:jc w:val="both"/>
        <w:rPr>
          <w:rFonts w:ascii="Cambria" w:eastAsia="MS Mincho" w:hAnsi="Cambria"/>
          <w:lang w:val="sv-SE" w:eastAsia="en-US"/>
        </w:rPr>
      </w:pPr>
    </w:p>
    <w:p w14:paraId="154B0E65" w14:textId="76AA7BD3" w:rsidR="00246A77" w:rsidRPr="00246A77" w:rsidRDefault="00246A77" w:rsidP="0062772E">
      <w:pPr>
        <w:jc w:val="both"/>
        <w:rPr>
          <w:rFonts w:ascii="Cambria" w:eastAsia="MS Mincho" w:hAnsi="Cambria"/>
          <w:lang w:val="sv-SE" w:eastAsia="en-US"/>
        </w:rPr>
      </w:pPr>
      <w:r w:rsidRPr="00246A77">
        <w:rPr>
          <w:rFonts w:ascii="Cambria" w:eastAsia="MS Mincho" w:hAnsi="Cambria"/>
          <w:lang w:val="sv-SE" w:eastAsia="en-US"/>
        </w:rPr>
        <w:t xml:space="preserve">I Tyskland har </w:t>
      </w:r>
      <w:proofErr w:type="spellStart"/>
      <w:r w:rsidRPr="00246A77">
        <w:rPr>
          <w:rFonts w:ascii="Cambria" w:eastAsia="MS Mincho" w:hAnsi="Cambria"/>
          <w:lang w:val="sv-SE" w:eastAsia="en-US"/>
        </w:rPr>
        <w:t>Wübker</w:t>
      </w:r>
      <w:proofErr w:type="spellEnd"/>
      <w:r w:rsidRPr="00246A77">
        <w:rPr>
          <w:rFonts w:ascii="Cambria" w:eastAsia="MS Mincho" w:hAnsi="Cambria"/>
          <w:lang w:val="sv-SE" w:eastAsia="en-US"/>
        </w:rPr>
        <w:t xml:space="preserve"> </w:t>
      </w:r>
      <w:r w:rsidR="00462F5D">
        <w:rPr>
          <w:rFonts w:ascii="Cambria" w:eastAsia="MS Mincho" w:hAnsi="Cambria"/>
          <w:lang w:val="sv-SE" w:eastAsia="en-US"/>
        </w:rPr>
        <w:t>och</w:t>
      </w:r>
      <w:r w:rsidRPr="00246A77">
        <w:rPr>
          <w:rFonts w:ascii="Cambria" w:eastAsia="MS Mincho" w:hAnsi="Cambria"/>
          <w:lang w:val="sv-SE" w:eastAsia="en-US"/>
        </w:rPr>
        <w:t xml:space="preserve"> </w:t>
      </w:r>
      <w:proofErr w:type="spellStart"/>
      <w:r w:rsidRPr="00246A77">
        <w:rPr>
          <w:rFonts w:ascii="Cambria" w:eastAsia="MS Mincho" w:hAnsi="Cambria"/>
          <w:lang w:val="sv-SE" w:eastAsia="en-US"/>
        </w:rPr>
        <w:t>Wuckel</w:t>
      </w:r>
      <w:proofErr w:type="spellEnd"/>
      <w:r w:rsidRPr="00246A77">
        <w:rPr>
          <w:rFonts w:ascii="Cambria" w:eastAsia="MS Mincho" w:hAnsi="Cambria"/>
          <w:lang w:val="sv-SE" w:eastAsia="en-US"/>
        </w:rPr>
        <w:t xml:space="preserve"> (2019) jämfört privata vinstdrivande sjukhus med privata icke-vinstdrivande och offentliga sjukhus gällande vård vid hjärtattack och lunginflammation. Vid lunginflammation hade de privata sjukhusen (både de vinstdrivande och de icke-vinstdrivande) högre överlevnad 30 dagar efter behandling än offentliga sjukhus. Vid hjärtattack fanns ingen sådan skillnad mellan de tre sjukhusgrupperna.</w:t>
      </w:r>
      <w:r w:rsidR="004820DD">
        <w:rPr>
          <w:rFonts w:ascii="Cambria" w:eastAsia="MS Mincho" w:hAnsi="Cambria"/>
          <w:lang w:val="sv-SE" w:eastAsia="en-US"/>
        </w:rPr>
        <w:t xml:space="preserve"> </w:t>
      </w:r>
      <w:r w:rsidR="00DA27A0">
        <w:rPr>
          <w:rFonts w:ascii="Cambria" w:eastAsia="MS Mincho" w:hAnsi="Cambria"/>
          <w:lang w:val="sv-SE" w:eastAsia="en-US"/>
        </w:rPr>
        <w:t xml:space="preserve">En annan tysk studie finner att </w:t>
      </w:r>
      <w:r w:rsidR="009544B1">
        <w:rPr>
          <w:rFonts w:ascii="Cambria" w:eastAsia="MS Mincho" w:hAnsi="Cambria"/>
          <w:lang w:val="sv-SE" w:eastAsia="en-US"/>
        </w:rPr>
        <w:t>privatiseringar av offentliga sjukhus som togs över av vinstdrivande organisationer ökade</w:t>
      </w:r>
      <w:r w:rsidR="00DA27A0">
        <w:rPr>
          <w:rFonts w:ascii="Cambria" w:eastAsia="MS Mincho" w:hAnsi="Cambria"/>
          <w:lang w:val="sv-SE" w:eastAsia="en-US"/>
        </w:rPr>
        <w:t xml:space="preserve"> effektiviteten</w:t>
      </w:r>
      <w:r w:rsidR="009544B1">
        <w:rPr>
          <w:rFonts w:ascii="Cambria" w:eastAsia="MS Mincho" w:hAnsi="Cambria"/>
          <w:lang w:val="sv-SE" w:eastAsia="en-US"/>
        </w:rPr>
        <w:t xml:space="preserve"> på permanent basis</w:t>
      </w:r>
      <w:r w:rsidR="00DB2626">
        <w:rPr>
          <w:rFonts w:ascii="Cambria" w:eastAsia="MS Mincho" w:hAnsi="Cambria"/>
          <w:lang w:val="sv-SE" w:eastAsia="en-US"/>
        </w:rPr>
        <w:t xml:space="preserve">, medan effekterna av </w:t>
      </w:r>
      <w:r w:rsidR="003120E9">
        <w:rPr>
          <w:rFonts w:ascii="Cambria" w:eastAsia="MS Mincho" w:hAnsi="Cambria"/>
          <w:lang w:val="sv-SE" w:eastAsia="en-US"/>
        </w:rPr>
        <w:t xml:space="preserve">övertagande av </w:t>
      </w:r>
      <w:r w:rsidR="00DB2626">
        <w:rPr>
          <w:rFonts w:ascii="Cambria" w:eastAsia="MS Mincho" w:hAnsi="Cambria"/>
          <w:lang w:val="sv-SE" w:eastAsia="en-US"/>
        </w:rPr>
        <w:t xml:space="preserve">icke-vinstdrivande </w:t>
      </w:r>
      <w:r w:rsidR="003120E9">
        <w:rPr>
          <w:rFonts w:ascii="Cambria" w:eastAsia="MS Mincho" w:hAnsi="Cambria"/>
          <w:lang w:val="sv-SE" w:eastAsia="en-US"/>
        </w:rPr>
        <w:t>organisationer</w:t>
      </w:r>
      <w:r w:rsidR="00DB2626">
        <w:rPr>
          <w:rFonts w:ascii="Cambria" w:eastAsia="MS Mincho" w:hAnsi="Cambria"/>
          <w:lang w:val="sv-SE" w:eastAsia="en-US"/>
        </w:rPr>
        <w:t xml:space="preserve"> </w:t>
      </w:r>
      <w:r w:rsidR="00CB1425">
        <w:rPr>
          <w:rFonts w:ascii="Cambria" w:eastAsia="MS Mincho" w:hAnsi="Cambria"/>
          <w:lang w:val="sv-SE" w:eastAsia="en-US"/>
        </w:rPr>
        <w:t>är</w:t>
      </w:r>
      <w:r w:rsidR="00DB2626">
        <w:rPr>
          <w:rFonts w:ascii="Cambria" w:eastAsia="MS Mincho" w:hAnsi="Cambria"/>
          <w:lang w:val="sv-SE" w:eastAsia="en-US"/>
        </w:rPr>
        <w:t xml:space="preserve"> mer </w:t>
      </w:r>
      <w:r w:rsidR="003B53F8">
        <w:rPr>
          <w:rFonts w:ascii="Cambria" w:eastAsia="MS Mincho" w:hAnsi="Cambria"/>
          <w:lang w:val="sv-SE" w:eastAsia="en-US"/>
        </w:rPr>
        <w:t>kortlivade</w:t>
      </w:r>
      <w:r w:rsidR="009544B1">
        <w:rPr>
          <w:rFonts w:ascii="Cambria" w:eastAsia="MS Mincho" w:hAnsi="Cambria"/>
          <w:lang w:val="sv-SE" w:eastAsia="en-US"/>
        </w:rPr>
        <w:t xml:space="preserve"> (</w:t>
      </w:r>
      <w:proofErr w:type="spellStart"/>
      <w:r w:rsidR="00DB2626">
        <w:rPr>
          <w:rFonts w:ascii="Cambria" w:eastAsia="MS Mincho" w:hAnsi="Cambria"/>
          <w:lang w:val="sv-SE" w:eastAsia="en-US"/>
        </w:rPr>
        <w:t>Tiemann</w:t>
      </w:r>
      <w:proofErr w:type="spellEnd"/>
      <w:r w:rsidR="00DB2626">
        <w:rPr>
          <w:rFonts w:ascii="Cambria" w:eastAsia="MS Mincho" w:hAnsi="Cambria"/>
          <w:lang w:val="sv-SE" w:eastAsia="en-US"/>
        </w:rPr>
        <w:t xml:space="preserve"> och </w:t>
      </w:r>
      <w:proofErr w:type="spellStart"/>
      <w:r w:rsidR="00DB2626" w:rsidRPr="00DB2626">
        <w:rPr>
          <w:rFonts w:ascii="Cambria" w:eastAsia="MS Mincho" w:hAnsi="Cambria"/>
          <w:lang w:val="sv-SE" w:eastAsia="en-US"/>
        </w:rPr>
        <w:t>Schreyögg</w:t>
      </w:r>
      <w:proofErr w:type="spellEnd"/>
      <w:r w:rsidR="00DB2626">
        <w:rPr>
          <w:rFonts w:ascii="Cambria" w:eastAsia="MS Mincho" w:hAnsi="Cambria"/>
          <w:lang w:val="sv-SE" w:eastAsia="en-US"/>
        </w:rPr>
        <w:t xml:space="preserve"> 2012)</w:t>
      </w:r>
      <w:r w:rsidR="009544B1">
        <w:rPr>
          <w:rFonts w:ascii="Cambria" w:eastAsia="MS Mincho" w:hAnsi="Cambria"/>
          <w:lang w:val="sv-SE" w:eastAsia="en-US"/>
        </w:rPr>
        <w:t>.</w:t>
      </w:r>
      <w:r w:rsidR="003120E9">
        <w:rPr>
          <w:rStyle w:val="Fotnotsreferens"/>
          <w:rFonts w:ascii="Cambria" w:eastAsia="MS Mincho" w:hAnsi="Cambria"/>
          <w:lang w:val="sv-SE" w:eastAsia="en-US"/>
        </w:rPr>
        <w:footnoteReference w:id="17"/>
      </w:r>
      <w:r w:rsidR="003B53F8">
        <w:rPr>
          <w:rFonts w:ascii="Cambria" w:eastAsia="MS Mincho" w:hAnsi="Cambria"/>
          <w:lang w:val="sv-SE" w:eastAsia="en-US"/>
        </w:rPr>
        <w:t xml:space="preserve"> </w:t>
      </w:r>
      <w:r w:rsidR="008A0E05">
        <w:rPr>
          <w:rFonts w:ascii="Cambria" w:eastAsia="MS Mincho" w:hAnsi="Cambria"/>
          <w:lang w:val="sv-SE" w:eastAsia="en-US"/>
        </w:rPr>
        <w:t xml:space="preserve">En tredje tysk </w:t>
      </w:r>
      <w:r w:rsidR="00C805B6">
        <w:rPr>
          <w:rFonts w:ascii="Cambria" w:eastAsia="MS Mincho" w:hAnsi="Cambria"/>
          <w:lang w:val="sv-SE" w:eastAsia="en-US"/>
        </w:rPr>
        <w:t xml:space="preserve">studie </w:t>
      </w:r>
      <w:r w:rsidR="008A0E05">
        <w:rPr>
          <w:rFonts w:ascii="Cambria" w:eastAsia="MS Mincho" w:hAnsi="Cambria"/>
          <w:lang w:val="sv-SE" w:eastAsia="en-US"/>
        </w:rPr>
        <w:t xml:space="preserve">visar att </w:t>
      </w:r>
      <w:r w:rsidR="006C0199">
        <w:rPr>
          <w:rFonts w:ascii="Cambria" w:eastAsia="MS Mincho" w:hAnsi="Cambria"/>
          <w:lang w:val="sv-SE" w:eastAsia="en-US"/>
        </w:rPr>
        <w:t xml:space="preserve">offentliggörandet </w:t>
      </w:r>
      <w:r w:rsidR="008A0E05">
        <w:rPr>
          <w:rFonts w:ascii="Cambria" w:eastAsia="MS Mincho" w:hAnsi="Cambria"/>
          <w:lang w:val="sv-SE" w:eastAsia="en-US"/>
        </w:rPr>
        <w:t xml:space="preserve">av kvalitetsinformation </w:t>
      </w:r>
      <w:r w:rsidR="009E138D">
        <w:rPr>
          <w:rFonts w:ascii="Cambria" w:eastAsia="MS Mincho" w:hAnsi="Cambria"/>
          <w:lang w:val="sv-SE" w:eastAsia="en-US"/>
        </w:rPr>
        <w:t xml:space="preserve">gjorde att vårdkvaliteten ökade </w:t>
      </w:r>
      <w:r w:rsidR="001208AA">
        <w:rPr>
          <w:rFonts w:ascii="Cambria" w:eastAsia="MS Mincho" w:hAnsi="Cambria"/>
          <w:lang w:val="sv-SE" w:eastAsia="en-US"/>
        </w:rPr>
        <w:t xml:space="preserve">mer </w:t>
      </w:r>
      <w:r w:rsidR="009E138D">
        <w:rPr>
          <w:rFonts w:ascii="Cambria" w:eastAsia="MS Mincho" w:hAnsi="Cambria"/>
          <w:lang w:val="sv-SE" w:eastAsia="en-US"/>
        </w:rPr>
        <w:t xml:space="preserve">i områden med högre konkurrens mellan olika utförare, </w:t>
      </w:r>
      <w:r w:rsidR="0058028A">
        <w:rPr>
          <w:rFonts w:ascii="Cambria" w:eastAsia="MS Mincho" w:hAnsi="Cambria"/>
          <w:lang w:val="sv-SE" w:eastAsia="en-US"/>
        </w:rPr>
        <w:t>som inkluderar</w:t>
      </w:r>
      <w:r w:rsidR="009E138D">
        <w:rPr>
          <w:rFonts w:ascii="Cambria" w:eastAsia="MS Mincho" w:hAnsi="Cambria"/>
          <w:lang w:val="sv-SE" w:eastAsia="en-US"/>
        </w:rPr>
        <w:t xml:space="preserve"> vinstdrivande och icke-vinstdrivande </w:t>
      </w:r>
      <w:r w:rsidR="009E138D">
        <w:rPr>
          <w:rFonts w:ascii="Cambria" w:eastAsia="MS Mincho" w:hAnsi="Cambria"/>
          <w:lang w:val="sv-SE" w:eastAsia="en-US"/>
        </w:rPr>
        <w:lastRenderedPageBreak/>
        <w:t>privata sjukhus (</w:t>
      </w:r>
      <w:proofErr w:type="spellStart"/>
      <w:r w:rsidR="009E138D">
        <w:rPr>
          <w:rFonts w:ascii="Cambria" w:eastAsia="MS Mincho" w:hAnsi="Cambria"/>
          <w:lang w:val="sv-SE" w:eastAsia="en-US"/>
        </w:rPr>
        <w:t>Strumann</w:t>
      </w:r>
      <w:proofErr w:type="spellEnd"/>
      <w:r w:rsidR="009E138D">
        <w:rPr>
          <w:rFonts w:ascii="Cambria" w:eastAsia="MS Mincho" w:hAnsi="Cambria"/>
          <w:lang w:val="sv-SE" w:eastAsia="en-US"/>
        </w:rPr>
        <w:t xml:space="preserve"> m.fl. 2022). </w:t>
      </w:r>
      <w:r w:rsidR="00DB2626">
        <w:rPr>
          <w:rFonts w:ascii="Cambria" w:eastAsia="MS Mincho" w:hAnsi="Cambria"/>
          <w:lang w:val="sv-SE" w:eastAsia="en-US"/>
        </w:rPr>
        <w:t xml:space="preserve">Samtidigt finner en </w:t>
      </w:r>
      <w:r w:rsidR="00A977FA">
        <w:rPr>
          <w:rFonts w:ascii="Cambria" w:eastAsia="MS Mincho" w:hAnsi="Cambria"/>
          <w:lang w:val="sv-SE" w:eastAsia="en-US"/>
        </w:rPr>
        <w:t xml:space="preserve">spansk </w:t>
      </w:r>
      <w:r w:rsidR="00F62EDB">
        <w:rPr>
          <w:rFonts w:ascii="Cambria" w:eastAsia="MS Mincho" w:hAnsi="Cambria"/>
          <w:lang w:val="sv-SE" w:eastAsia="en-US"/>
        </w:rPr>
        <w:t>studie att vårdval i Madrid kraftigt minskade vårdköerna inom specialistvården och ökade patienternas nöjdhet med väntetiderna (</w:t>
      </w:r>
      <w:r w:rsidR="00497FDA" w:rsidRPr="00497FDA">
        <w:rPr>
          <w:rFonts w:ascii="Cambria" w:eastAsia="MS Mincho" w:hAnsi="Cambria"/>
          <w:lang w:val="sv-SE" w:eastAsia="en-US"/>
        </w:rPr>
        <w:t>Fernández-Pérez</w:t>
      </w:r>
      <w:r w:rsidR="00497FDA">
        <w:rPr>
          <w:rFonts w:ascii="Cambria" w:eastAsia="MS Mincho" w:hAnsi="Cambria"/>
          <w:lang w:val="sv-SE" w:eastAsia="en-US"/>
        </w:rPr>
        <w:t xml:space="preserve"> </w:t>
      </w:r>
      <w:proofErr w:type="gramStart"/>
      <w:r w:rsidR="00497FDA">
        <w:rPr>
          <w:rFonts w:ascii="Cambria" w:eastAsia="MS Mincho" w:hAnsi="Cambria"/>
          <w:lang w:val="sv-SE" w:eastAsia="en-US"/>
        </w:rPr>
        <w:t>m.fl.</w:t>
      </w:r>
      <w:proofErr w:type="gramEnd"/>
      <w:r w:rsidR="00497FDA">
        <w:rPr>
          <w:rFonts w:ascii="Cambria" w:eastAsia="MS Mincho" w:hAnsi="Cambria"/>
          <w:lang w:val="sv-SE" w:eastAsia="en-US"/>
        </w:rPr>
        <w:t xml:space="preserve"> 2022).</w:t>
      </w:r>
      <w:r w:rsidR="000976C7">
        <w:rPr>
          <w:rStyle w:val="Fotnotsreferens"/>
          <w:rFonts w:ascii="Cambria" w:eastAsia="MS Mincho" w:hAnsi="Cambria"/>
          <w:lang w:val="sv-SE" w:eastAsia="en-US"/>
        </w:rPr>
        <w:footnoteReference w:id="18"/>
      </w:r>
    </w:p>
    <w:p w14:paraId="7B7406D7" w14:textId="77777777" w:rsidR="00246A77" w:rsidRPr="00246A77" w:rsidRDefault="00246A77" w:rsidP="0062772E">
      <w:pPr>
        <w:spacing w:line="259" w:lineRule="auto"/>
        <w:jc w:val="both"/>
        <w:rPr>
          <w:rFonts w:ascii="Cambria" w:eastAsia="Aptos" w:hAnsi="Cambria"/>
          <w:kern w:val="2"/>
          <w:lang w:val="sv-SE" w:eastAsia="en-US"/>
          <w14:ligatures w14:val="standardContextual"/>
        </w:rPr>
      </w:pPr>
    </w:p>
    <w:p w14:paraId="2D375141" w14:textId="7C00D754" w:rsidR="00246A77" w:rsidRPr="00246A77" w:rsidRDefault="007B3342" w:rsidP="0062772E">
      <w:pPr>
        <w:jc w:val="both"/>
        <w:rPr>
          <w:rFonts w:ascii="Cambria" w:eastAsia="Aptos" w:hAnsi="Cambria"/>
          <w:kern w:val="2"/>
          <w:lang w:val="sv-SE" w:eastAsia="en-US"/>
          <w14:ligatures w14:val="standardContextual"/>
        </w:rPr>
      </w:pPr>
      <w:r>
        <w:rPr>
          <w:rFonts w:ascii="Cambria" w:eastAsia="Aptos" w:hAnsi="Cambria"/>
          <w:kern w:val="2"/>
          <w:lang w:val="sv-SE" w:eastAsia="en-US"/>
          <w14:ligatures w14:val="standardContextual"/>
        </w:rPr>
        <w:t>Det finns även relevant forskning från andra nordiska länder</w:t>
      </w:r>
      <w:r w:rsidR="0038027A">
        <w:rPr>
          <w:rFonts w:ascii="Cambria" w:eastAsia="Aptos" w:hAnsi="Cambria"/>
          <w:kern w:val="2"/>
          <w:lang w:val="sv-SE" w:eastAsia="en-US"/>
          <w14:ligatures w14:val="standardContextual"/>
        </w:rPr>
        <w:t xml:space="preserve">. Givet likheterna mellan de nordiska länderna är denna </w:t>
      </w:r>
      <w:r w:rsidR="00204A2F">
        <w:rPr>
          <w:rFonts w:ascii="Cambria" w:eastAsia="Aptos" w:hAnsi="Cambria"/>
          <w:kern w:val="2"/>
          <w:lang w:val="sv-SE" w:eastAsia="en-US"/>
          <w14:ligatures w14:val="standardContextual"/>
        </w:rPr>
        <w:t xml:space="preserve">forskning </w:t>
      </w:r>
      <w:r w:rsidR="0038027A">
        <w:rPr>
          <w:rFonts w:ascii="Cambria" w:eastAsia="Aptos" w:hAnsi="Cambria"/>
          <w:kern w:val="2"/>
          <w:lang w:val="sv-SE" w:eastAsia="en-US"/>
          <w14:ligatures w14:val="standardContextual"/>
        </w:rPr>
        <w:t xml:space="preserve">i vissa hänseenden speciellt intressant i detta sammanhang. </w:t>
      </w:r>
      <w:r w:rsidR="00246A77" w:rsidRPr="00246A77">
        <w:rPr>
          <w:rFonts w:ascii="Cambria" w:eastAsia="Aptos" w:hAnsi="Cambria"/>
          <w:kern w:val="2"/>
          <w:lang w:val="sv-SE" w:eastAsia="en-US"/>
          <w14:ligatures w14:val="standardContextual"/>
        </w:rPr>
        <w:t xml:space="preserve">I början av 2000-talet konkurrensutsattes dagkirurgi genom upphandling i Norge. En studie av Hagen </w:t>
      </w:r>
      <w:proofErr w:type="gramStart"/>
      <w:r w:rsidR="00246A77" w:rsidRPr="00246A77">
        <w:rPr>
          <w:rFonts w:ascii="Cambria" w:eastAsia="Aptos" w:hAnsi="Cambria"/>
          <w:kern w:val="2"/>
          <w:lang w:val="sv-SE" w:eastAsia="en-US"/>
          <w14:ligatures w14:val="standardContextual"/>
        </w:rPr>
        <w:t>m</w:t>
      </w:r>
      <w:r w:rsidR="003C2DD4">
        <w:rPr>
          <w:rFonts w:ascii="Cambria" w:eastAsia="Aptos" w:hAnsi="Cambria"/>
          <w:kern w:val="2"/>
          <w:lang w:val="sv-SE" w:eastAsia="en-US"/>
          <w14:ligatures w14:val="standardContextual"/>
        </w:rPr>
        <w:t>.</w:t>
      </w:r>
      <w:r w:rsidR="00246A77" w:rsidRPr="00246A77">
        <w:rPr>
          <w:rFonts w:ascii="Cambria" w:eastAsia="Aptos" w:hAnsi="Cambria"/>
          <w:kern w:val="2"/>
          <w:lang w:val="sv-SE" w:eastAsia="en-US"/>
          <w14:ligatures w14:val="standardContextual"/>
        </w:rPr>
        <w:t>fl</w:t>
      </w:r>
      <w:r w:rsidR="003C2DD4">
        <w:rPr>
          <w:rFonts w:ascii="Cambria" w:eastAsia="Aptos" w:hAnsi="Cambria"/>
          <w:kern w:val="2"/>
          <w:lang w:val="sv-SE" w:eastAsia="en-US"/>
          <w14:ligatures w14:val="standardContextual"/>
        </w:rPr>
        <w:t>.</w:t>
      </w:r>
      <w:proofErr w:type="gramEnd"/>
      <w:r w:rsidR="00246A77" w:rsidRPr="00246A77">
        <w:rPr>
          <w:rFonts w:ascii="Cambria" w:eastAsia="Aptos" w:hAnsi="Cambria"/>
          <w:kern w:val="2"/>
          <w:lang w:val="sv-SE" w:eastAsia="en-US"/>
          <w14:ligatures w14:val="standardContextual"/>
        </w:rPr>
        <w:t xml:space="preserve"> (201</w:t>
      </w:r>
      <w:r w:rsidR="007001C5">
        <w:rPr>
          <w:rFonts w:ascii="Cambria" w:eastAsia="Aptos" w:hAnsi="Cambria"/>
          <w:kern w:val="2"/>
          <w:lang w:val="sv-SE" w:eastAsia="en-US"/>
          <w14:ligatures w14:val="standardContextual"/>
        </w:rPr>
        <w:t>8</w:t>
      </w:r>
      <w:r w:rsidR="00246A77" w:rsidRPr="00246A77">
        <w:rPr>
          <w:rFonts w:ascii="Cambria" w:eastAsia="Aptos" w:hAnsi="Cambria"/>
          <w:kern w:val="2"/>
          <w:lang w:val="sv-SE" w:eastAsia="en-US"/>
          <w14:ligatures w14:val="standardContextual"/>
        </w:rPr>
        <w:t>) visar att detta sänkte priserna så att ersättningen till vinstdrivande sjukhus låg betydligt under vad de offentliga sjukhusen erhöll genom DRG-systemet.</w:t>
      </w:r>
      <w:r w:rsidR="007E5DD6" w:rsidRPr="007E5DD6">
        <w:rPr>
          <w:rStyle w:val="Fotnotsreferens"/>
          <w:rFonts w:ascii="Cambria" w:eastAsia="Aptos" w:hAnsi="Cambria"/>
          <w:kern w:val="2"/>
          <w:lang w:val="sv-SE" w:eastAsia="en-US"/>
          <w14:ligatures w14:val="standardContextual"/>
        </w:rPr>
        <w:t xml:space="preserve"> </w:t>
      </w:r>
      <w:r w:rsidR="007E5DD6">
        <w:rPr>
          <w:rStyle w:val="Fotnotsreferens"/>
          <w:rFonts w:ascii="Cambria" w:eastAsia="Aptos" w:hAnsi="Cambria"/>
          <w:kern w:val="2"/>
          <w:lang w:val="sv-SE" w:eastAsia="en-US"/>
          <w14:ligatures w14:val="standardContextual"/>
        </w:rPr>
        <w:footnoteReference w:id="19"/>
      </w:r>
      <w:r w:rsidR="007E5DD6" w:rsidRPr="00246A77">
        <w:rPr>
          <w:rFonts w:ascii="Cambria" w:eastAsia="Aptos" w:hAnsi="Cambria"/>
          <w:kern w:val="2"/>
          <w:lang w:val="sv-SE" w:eastAsia="en-US"/>
          <w14:ligatures w14:val="standardContextual"/>
        </w:rPr>
        <w:t xml:space="preserve"> </w:t>
      </w:r>
      <w:r w:rsidR="001579BD">
        <w:rPr>
          <w:rFonts w:ascii="Cambria" w:eastAsia="Aptos" w:hAnsi="Cambria"/>
          <w:kern w:val="2"/>
          <w:lang w:val="sv-SE" w:eastAsia="en-US"/>
          <w14:ligatures w14:val="standardContextual"/>
        </w:rPr>
        <w:t>Samtidigt finner en annan norsk studie inga effekter av vårdval på väntetider (eller vårdtyngd) bland offentliga sjukhus – och inte heller någon generell effekt på antalet vårdbesök, varken totalt (med undantag för en ökning av ganglionoperationer) eller bland offentliga sjukhus. Författarna noterar dock att reformens utformning gjorde att den knappt påverkade de ekonomiska incitamenten för de offentliga sjukhusen, vilket är en möjlig förklaring till avsaknaden av effekter bland dessa sjukhus</w:t>
      </w:r>
      <w:r w:rsidR="0020202A">
        <w:rPr>
          <w:rFonts w:ascii="Cambria" w:eastAsia="Aptos" w:hAnsi="Cambria"/>
          <w:kern w:val="2"/>
          <w:lang w:val="sv-SE" w:eastAsia="en-US"/>
          <w14:ligatures w14:val="standardContextual"/>
        </w:rPr>
        <w:t xml:space="preserve">. Eftersom man aktivt ville motverka selektion av patienter bland de privata vårdgivarna var deras ersättning ofta mycket lägre än </w:t>
      </w:r>
      <w:r w:rsidR="004E7B96">
        <w:rPr>
          <w:rFonts w:ascii="Cambria" w:eastAsia="Aptos" w:hAnsi="Cambria"/>
          <w:kern w:val="2"/>
          <w:lang w:val="sv-SE" w:eastAsia="en-US"/>
          <w14:ligatures w14:val="standardContextual"/>
        </w:rPr>
        <w:t>kostnaden för samma vård</w:t>
      </w:r>
      <w:r w:rsidR="0020202A">
        <w:rPr>
          <w:rFonts w:ascii="Cambria" w:eastAsia="Aptos" w:hAnsi="Cambria"/>
          <w:kern w:val="2"/>
          <w:lang w:val="sv-SE" w:eastAsia="en-US"/>
          <w14:ligatures w14:val="standardContextual"/>
        </w:rPr>
        <w:t xml:space="preserve"> </w:t>
      </w:r>
      <w:r w:rsidR="004E7B96">
        <w:rPr>
          <w:rFonts w:ascii="Cambria" w:eastAsia="Aptos" w:hAnsi="Cambria"/>
          <w:kern w:val="2"/>
          <w:lang w:val="sv-SE" w:eastAsia="en-US"/>
          <w14:ligatures w14:val="standardContextual"/>
        </w:rPr>
        <w:t>bland</w:t>
      </w:r>
      <w:r w:rsidR="0020202A">
        <w:rPr>
          <w:rFonts w:ascii="Cambria" w:eastAsia="Aptos" w:hAnsi="Cambria"/>
          <w:kern w:val="2"/>
          <w:lang w:val="sv-SE" w:eastAsia="en-US"/>
          <w14:ligatures w14:val="standardContextual"/>
        </w:rPr>
        <w:t xml:space="preserve"> offentliga sjukhus (Ge </w:t>
      </w:r>
      <w:proofErr w:type="gramStart"/>
      <w:r w:rsidR="0020202A">
        <w:rPr>
          <w:rFonts w:ascii="Cambria" w:eastAsia="Aptos" w:hAnsi="Cambria"/>
          <w:kern w:val="2"/>
          <w:lang w:val="sv-SE" w:eastAsia="en-US"/>
          <w14:ligatures w14:val="standardContextual"/>
        </w:rPr>
        <w:t>m.fl.</w:t>
      </w:r>
      <w:proofErr w:type="gramEnd"/>
      <w:r w:rsidR="0020202A">
        <w:rPr>
          <w:rFonts w:ascii="Cambria" w:eastAsia="Aptos" w:hAnsi="Cambria"/>
          <w:kern w:val="2"/>
          <w:lang w:val="sv-SE" w:eastAsia="en-US"/>
          <w14:ligatures w14:val="standardContextual"/>
        </w:rPr>
        <w:t xml:space="preserve"> 2024).</w:t>
      </w:r>
      <w:r w:rsidR="0020202A">
        <w:rPr>
          <w:rStyle w:val="Fotnotsreferens"/>
          <w:rFonts w:ascii="Cambria" w:eastAsia="Aptos" w:hAnsi="Cambria"/>
          <w:kern w:val="2"/>
          <w:lang w:val="sv-SE" w:eastAsia="en-US"/>
          <w14:ligatures w14:val="standardContextual"/>
        </w:rPr>
        <w:footnoteReference w:id="20"/>
      </w:r>
      <w:r w:rsidR="0020202A">
        <w:rPr>
          <w:rFonts w:ascii="Cambria" w:eastAsia="Aptos" w:hAnsi="Cambria"/>
          <w:kern w:val="2"/>
          <w:lang w:val="sv-SE" w:eastAsia="en-US"/>
          <w14:ligatures w14:val="standardContextual"/>
        </w:rPr>
        <w:t xml:space="preserve"> </w:t>
      </w:r>
      <w:r w:rsidR="004E7B96">
        <w:rPr>
          <w:rFonts w:ascii="Cambria" w:eastAsia="Aptos" w:hAnsi="Cambria"/>
          <w:kern w:val="2"/>
          <w:lang w:val="sv-SE" w:eastAsia="en-US"/>
          <w14:ligatures w14:val="standardContextual"/>
        </w:rPr>
        <w:t>I den mån</w:t>
      </w:r>
      <w:r w:rsidR="0020202A">
        <w:rPr>
          <w:rFonts w:ascii="Cambria" w:eastAsia="Aptos" w:hAnsi="Cambria"/>
          <w:kern w:val="2"/>
          <w:lang w:val="sv-SE" w:eastAsia="en-US"/>
          <w14:ligatures w14:val="standardContextual"/>
        </w:rPr>
        <w:t xml:space="preserve"> patienter valde privata vårdgivare är det därför rimligt att anta att vårdvalet sänkte kostnaderna, uppenbarligen utan några negativa effekter på de offentliga sjukhusen.</w:t>
      </w:r>
      <w:r w:rsidR="00A75602">
        <w:rPr>
          <w:rStyle w:val="Fotnotsreferens"/>
          <w:rFonts w:ascii="Cambria" w:eastAsia="Aptos" w:hAnsi="Cambria"/>
          <w:kern w:val="2"/>
          <w:lang w:val="sv-SE" w:eastAsia="en-US"/>
          <w14:ligatures w14:val="standardContextual"/>
        </w:rPr>
        <w:footnoteReference w:id="21"/>
      </w:r>
    </w:p>
    <w:p w14:paraId="3E34FADD" w14:textId="77777777" w:rsidR="00246A77" w:rsidRPr="00246A77" w:rsidRDefault="00246A77" w:rsidP="0062772E">
      <w:pPr>
        <w:jc w:val="both"/>
        <w:rPr>
          <w:rFonts w:ascii="Cambria" w:eastAsia="Aptos" w:hAnsi="Cambria"/>
          <w:kern w:val="2"/>
          <w:lang w:val="sv-SE" w:eastAsia="en-US"/>
          <w14:ligatures w14:val="standardContextual"/>
        </w:rPr>
      </w:pPr>
    </w:p>
    <w:p w14:paraId="1188B85F" w14:textId="55B305CC" w:rsidR="00246A77" w:rsidRPr="00246A77" w:rsidRDefault="007E5DD6" w:rsidP="0062772E">
      <w:pPr>
        <w:jc w:val="both"/>
        <w:rPr>
          <w:rFonts w:ascii="Cambria" w:eastAsia="Aptos" w:hAnsi="Cambria"/>
          <w:kern w:val="2"/>
          <w:lang w:val="sv-SE" w:eastAsia="en-US"/>
          <w14:ligatures w14:val="standardContextual"/>
        </w:rPr>
      </w:pPr>
      <w:r>
        <w:rPr>
          <w:rFonts w:ascii="Cambria" w:eastAsia="Aptos" w:hAnsi="Cambria"/>
          <w:kern w:val="2"/>
          <w:lang w:val="sv-SE" w:eastAsia="en-US"/>
          <w14:ligatures w14:val="standardContextual"/>
        </w:rPr>
        <w:t>I ytterligare en norsk studie genomför ett antal forskare en</w:t>
      </w:r>
      <w:r w:rsidR="007D4EFF">
        <w:rPr>
          <w:rFonts w:ascii="Cambria" w:eastAsia="Aptos" w:hAnsi="Cambria"/>
          <w:kern w:val="2"/>
          <w:lang w:val="sv-SE" w:eastAsia="en-US"/>
          <w14:ligatures w14:val="standardContextual"/>
        </w:rPr>
        <w:t xml:space="preserve"> större utvärdering </w:t>
      </w:r>
      <w:r w:rsidR="005729B3">
        <w:rPr>
          <w:rFonts w:ascii="Cambria" w:eastAsia="Aptos" w:hAnsi="Cambria"/>
          <w:kern w:val="2"/>
          <w:lang w:val="sv-SE" w:eastAsia="en-US"/>
          <w14:ligatures w14:val="standardContextual"/>
        </w:rPr>
        <w:t>av</w:t>
      </w:r>
      <w:r w:rsidR="00D30FD8">
        <w:rPr>
          <w:rFonts w:ascii="Cambria" w:eastAsia="Aptos" w:hAnsi="Cambria"/>
          <w:kern w:val="2"/>
          <w:lang w:val="sv-SE" w:eastAsia="en-US"/>
          <w14:ligatures w14:val="standardContextual"/>
        </w:rPr>
        <w:t xml:space="preserve"> en </w:t>
      </w:r>
      <w:r w:rsidR="0038027A">
        <w:rPr>
          <w:rFonts w:ascii="Cambria" w:eastAsia="Aptos" w:hAnsi="Cambria"/>
          <w:kern w:val="2"/>
          <w:lang w:val="sv-SE" w:eastAsia="en-US"/>
          <w14:ligatures w14:val="standardContextual"/>
        </w:rPr>
        <w:t xml:space="preserve">annan </w:t>
      </w:r>
      <w:r w:rsidR="00D30FD8">
        <w:rPr>
          <w:rFonts w:ascii="Cambria" w:eastAsia="Aptos" w:hAnsi="Cambria"/>
          <w:kern w:val="2"/>
          <w:lang w:val="sv-SE" w:eastAsia="en-US"/>
          <w14:ligatures w14:val="standardContextual"/>
        </w:rPr>
        <w:t>reform som gjorde det möjligt att välja sjukhus</w:t>
      </w:r>
      <w:r w:rsidR="00AE691B">
        <w:rPr>
          <w:rFonts w:ascii="Cambria" w:eastAsia="Aptos" w:hAnsi="Cambria"/>
          <w:kern w:val="2"/>
          <w:lang w:val="sv-SE" w:eastAsia="en-US"/>
          <w14:ligatures w14:val="standardContextual"/>
        </w:rPr>
        <w:t xml:space="preserve"> (även privata)</w:t>
      </w:r>
      <w:r w:rsidR="00D30FD8">
        <w:rPr>
          <w:rFonts w:ascii="Cambria" w:eastAsia="Aptos" w:hAnsi="Cambria"/>
          <w:kern w:val="2"/>
          <w:lang w:val="sv-SE" w:eastAsia="en-US"/>
          <w14:ligatures w14:val="standardContextual"/>
        </w:rPr>
        <w:t xml:space="preserve"> över hela landet för </w:t>
      </w:r>
      <w:proofErr w:type="spellStart"/>
      <w:r w:rsidR="00D30FD8">
        <w:rPr>
          <w:rFonts w:ascii="Cambria" w:eastAsia="Aptos" w:hAnsi="Cambria"/>
          <w:kern w:val="2"/>
          <w:lang w:val="sv-SE" w:eastAsia="en-US"/>
          <w14:ligatures w14:val="standardContextual"/>
        </w:rPr>
        <w:t>elektiv</w:t>
      </w:r>
      <w:proofErr w:type="spellEnd"/>
      <w:r w:rsidR="00D30FD8">
        <w:rPr>
          <w:rFonts w:ascii="Cambria" w:eastAsia="Aptos" w:hAnsi="Cambria"/>
          <w:kern w:val="2"/>
          <w:lang w:val="sv-SE" w:eastAsia="en-US"/>
          <w14:ligatures w14:val="standardContextual"/>
        </w:rPr>
        <w:t xml:space="preserve"> vård</w:t>
      </w:r>
      <w:r w:rsidR="005729B3">
        <w:rPr>
          <w:rFonts w:ascii="Cambria" w:eastAsia="Aptos" w:hAnsi="Cambria"/>
          <w:kern w:val="2"/>
          <w:lang w:val="sv-SE" w:eastAsia="en-US"/>
          <w14:ligatures w14:val="standardContextual"/>
        </w:rPr>
        <w:t xml:space="preserve">. Reformen </w:t>
      </w:r>
      <w:r w:rsidR="00D30FD8">
        <w:rPr>
          <w:rFonts w:ascii="Cambria" w:eastAsia="Aptos" w:hAnsi="Cambria"/>
          <w:kern w:val="2"/>
          <w:lang w:val="sv-SE" w:eastAsia="en-US"/>
          <w14:ligatures w14:val="standardContextual"/>
        </w:rPr>
        <w:t>infördes i början av 2000-talet</w:t>
      </w:r>
      <w:r w:rsidR="00C41BFE">
        <w:rPr>
          <w:rFonts w:ascii="Cambria" w:eastAsia="Aptos" w:hAnsi="Cambria"/>
          <w:kern w:val="2"/>
          <w:lang w:val="sv-SE" w:eastAsia="en-US"/>
          <w14:ligatures w14:val="standardContextual"/>
        </w:rPr>
        <w:t xml:space="preserve"> och ökade konkurrensen</w:t>
      </w:r>
      <w:r w:rsidR="005729B3">
        <w:rPr>
          <w:rFonts w:ascii="Cambria" w:eastAsia="Aptos" w:hAnsi="Cambria"/>
          <w:kern w:val="2"/>
          <w:lang w:val="sv-SE" w:eastAsia="en-US"/>
          <w14:ligatures w14:val="standardContextual"/>
        </w:rPr>
        <w:t xml:space="preserve"> mellan sjukhusen. Resultaten visar att reformen</w:t>
      </w:r>
      <w:r w:rsidR="009D25BD">
        <w:rPr>
          <w:rFonts w:ascii="Cambria" w:eastAsia="Aptos" w:hAnsi="Cambria"/>
          <w:kern w:val="2"/>
          <w:lang w:val="sv-SE" w:eastAsia="en-US"/>
          <w14:ligatures w14:val="standardContextual"/>
        </w:rPr>
        <w:t xml:space="preserve"> </w:t>
      </w:r>
      <w:r w:rsidR="006626B9">
        <w:rPr>
          <w:rFonts w:ascii="Cambria" w:eastAsia="Aptos" w:hAnsi="Cambria"/>
          <w:kern w:val="2"/>
          <w:lang w:val="sv-SE" w:eastAsia="en-US"/>
          <w14:ligatures w14:val="standardContextual"/>
        </w:rPr>
        <w:t xml:space="preserve">gav upphov till större </w:t>
      </w:r>
      <w:r w:rsidR="00D30FD8">
        <w:rPr>
          <w:rFonts w:ascii="Cambria" w:eastAsia="Aptos" w:hAnsi="Cambria"/>
          <w:kern w:val="2"/>
          <w:lang w:val="sv-SE" w:eastAsia="en-US"/>
          <w14:ligatures w14:val="standardContextual"/>
        </w:rPr>
        <w:t>minsk</w:t>
      </w:r>
      <w:r w:rsidR="006626B9">
        <w:rPr>
          <w:rFonts w:ascii="Cambria" w:eastAsia="Aptos" w:hAnsi="Cambria"/>
          <w:kern w:val="2"/>
          <w:lang w:val="sv-SE" w:eastAsia="en-US"/>
          <w14:ligatures w14:val="standardContextual"/>
        </w:rPr>
        <w:t xml:space="preserve">ningar av </w:t>
      </w:r>
      <w:r w:rsidR="00D30FD8">
        <w:rPr>
          <w:rFonts w:ascii="Cambria" w:eastAsia="Aptos" w:hAnsi="Cambria"/>
          <w:kern w:val="2"/>
          <w:lang w:val="sv-SE" w:eastAsia="en-US"/>
          <w14:ligatures w14:val="standardContextual"/>
        </w:rPr>
        <w:t xml:space="preserve">mortaliteten, tiden som patienterna </w:t>
      </w:r>
      <w:r w:rsidR="0038027A">
        <w:rPr>
          <w:rFonts w:ascii="Cambria" w:eastAsia="Aptos" w:hAnsi="Cambria"/>
          <w:kern w:val="2"/>
          <w:lang w:val="sv-SE" w:eastAsia="en-US"/>
          <w14:ligatures w14:val="standardContextual"/>
        </w:rPr>
        <w:t>befann sig</w:t>
      </w:r>
      <w:r w:rsidR="00D30FD8">
        <w:rPr>
          <w:rFonts w:ascii="Cambria" w:eastAsia="Aptos" w:hAnsi="Cambria"/>
          <w:kern w:val="2"/>
          <w:lang w:val="sv-SE" w:eastAsia="en-US"/>
          <w14:ligatures w14:val="standardContextual"/>
        </w:rPr>
        <w:t xml:space="preserve"> på sjukhusen </w:t>
      </w:r>
      <w:r w:rsidR="00DD05C5">
        <w:rPr>
          <w:rFonts w:ascii="Cambria" w:eastAsia="Aptos" w:hAnsi="Cambria"/>
          <w:kern w:val="2"/>
          <w:lang w:val="sv-SE" w:eastAsia="en-US"/>
          <w14:ligatures w14:val="standardContextual"/>
        </w:rPr>
        <w:t xml:space="preserve">samt </w:t>
      </w:r>
      <w:r w:rsidR="00D30FD8">
        <w:rPr>
          <w:rFonts w:ascii="Cambria" w:eastAsia="Aptos" w:hAnsi="Cambria"/>
          <w:kern w:val="2"/>
          <w:lang w:val="sv-SE" w:eastAsia="en-US"/>
          <w14:ligatures w14:val="standardContextual"/>
        </w:rPr>
        <w:t>vårdköerna</w:t>
      </w:r>
      <w:r w:rsidR="005729B3">
        <w:rPr>
          <w:rFonts w:ascii="Cambria" w:eastAsia="Aptos" w:hAnsi="Cambria"/>
          <w:kern w:val="2"/>
          <w:lang w:val="sv-SE" w:eastAsia="en-US"/>
          <w14:ligatures w14:val="standardContextual"/>
        </w:rPr>
        <w:t xml:space="preserve"> </w:t>
      </w:r>
      <w:r w:rsidR="006626B9">
        <w:rPr>
          <w:rFonts w:ascii="Cambria" w:eastAsia="Aptos" w:hAnsi="Cambria"/>
          <w:kern w:val="2"/>
          <w:lang w:val="sv-SE" w:eastAsia="en-US"/>
          <w14:ligatures w14:val="standardContextual"/>
        </w:rPr>
        <w:t>vid</w:t>
      </w:r>
      <w:r w:rsidR="005729B3">
        <w:rPr>
          <w:rFonts w:ascii="Cambria" w:eastAsia="Aptos" w:hAnsi="Cambria"/>
          <w:kern w:val="2"/>
          <w:lang w:val="sv-SE" w:eastAsia="en-US"/>
          <w14:ligatures w14:val="standardContextual"/>
        </w:rPr>
        <w:t xml:space="preserve"> </w:t>
      </w:r>
      <w:r w:rsidR="00821AB1">
        <w:rPr>
          <w:rFonts w:ascii="Cambria" w:eastAsia="Aptos" w:hAnsi="Cambria"/>
          <w:kern w:val="2"/>
          <w:lang w:val="sv-SE" w:eastAsia="en-US"/>
          <w14:ligatures w14:val="standardContextual"/>
        </w:rPr>
        <w:t xml:space="preserve">sjukhus </w:t>
      </w:r>
      <w:r w:rsidR="005729B3">
        <w:rPr>
          <w:rFonts w:ascii="Cambria" w:eastAsia="Aptos" w:hAnsi="Cambria"/>
          <w:kern w:val="2"/>
          <w:lang w:val="sv-SE" w:eastAsia="en-US"/>
          <w14:ligatures w14:val="standardContextual"/>
        </w:rPr>
        <w:t xml:space="preserve">som </w:t>
      </w:r>
      <w:r w:rsidR="006626B9">
        <w:rPr>
          <w:rFonts w:ascii="Cambria" w:eastAsia="Aptos" w:hAnsi="Cambria"/>
          <w:kern w:val="2"/>
          <w:lang w:val="sv-SE" w:eastAsia="en-US"/>
          <w14:ligatures w14:val="standardContextual"/>
        </w:rPr>
        <w:t xml:space="preserve">på grund av marknadsstrukturen </w:t>
      </w:r>
      <w:r w:rsidR="005729B3">
        <w:rPr>
          <w:rFonts w:ascii="Cambria" w:eastAsia="Aptos" w:hAnsi="Cambria"/>
          <w:kern w:val="2"/>
          <w:lang w:val="sv-SE" w:eastAsia="en-US"/>
          <w14:ligatures w14:val="standardContextual"/>
        </w:rPr>
        <w:t xml:space="preserve">hade högre </w:t>
      </w:r>
      <w:r w:rsidR="00821AB1">
        <w:rPr>
          <w:rFonts w:ascii="Cambria" w:eastAsia="Aptos" w:hAnsi="Cambria"/>
          <w:kern w:val="2"/>
          <w:lang w:val="sv-SE" w:eastAsia="en-US"/>
          <w14:ligatures w14:val="standardContextual"/>
        </w:rPr>
        <w:t xml:space="preserve">nivåer av </w:t>
      </w:r>
      <w:r w:rsidR="005729B3">
        <w:rPr>
          <w:rFonts w:ascii="Cambria" w:eastAsia="Aptos" w:hAnsi="Cambria"/>
          <w:kern w:val="2"/>
          <w:lang w:val="sv-SE" w:eastAsia="en-US"/>
          <w14:ligatures w14:val="standardContextual"/>
        </w:rPr>
        <w:t xml:space="preserve">potentiell konkurrens </w:t>
      </w:r>
      <w:r w:rsidR="006626B9">
        <w:rPr>
          <w:rFonts w:ascii="Cambria" w:eastAsia="Aptos" w:hAnsi="Cambria"/>
          <w:kern w:val="2"/>
          <w:lang w:val="sv-SE" w:eastAsia="en-US"/>
          <w14:ligatures w14:val="standardContextual"/>
        </w:rPr>
        <w:t xml:space="preserve">före reformen </w:t>
      </w:r>
      <w:r w:rsidR="00D30FD8">
        <w:rPr>
          <w:rFonts w:ascii="Cambria" w:eastAsia="Aptos" w:hAnsi="Cambria"/>
          <w:kern w:val="2"/>
          <w:lang w:val="sv-SE" w:eastAsia="en-US"/>
          <w14:ligatures w14:val="standardContextual"/>
        </w:rPr>
        <w:t xml:space="preserve">(Brekke </w:t>
      </w:r>
      <w:proofErr w:type="gramStart"/>
      <w:r w:rsidR="00D30FD8">
        <w:rPr>
          <w:rFonts w:ascii="Cambria" w:eastAsia="Aptos" w:hAnsi="Cambria"/>
          <w:kern w:val="2"/>
          <w:lang w:val="sv-SE" w:eastAsia="en-US"/>
          <w14:ligatures w14:val="standardContextual"/>
        </w:rPr>
        <w:t>m.fl.</w:t>
      </w:r>
      <w:proofErr w:type="gramEnd"/>
      <w:r w:rsidR="00D30FD8">
        <w:rPr>
          <w:rFonts w:ascii="Cambria" w:eastAsia="Aptos" w:hAnsi="Cambria"/>
          <w:kern w:val="2"/>
          <w:lang w:val="sv-SE" w:eastAsia="en-US"/>
          <w14:ligatures w14:val="standardContextual"/>
        </w:rPr>
        <w:t xml:space="preserve"> 2021).</w:t>
      </w:r>
      <w:r w:rsidR="00D30FD8">
        <w:rPr>
          <w:rStyle w:val="Fotnotsreferens"/>
          <w:rFonts w:ascii="Cambria" w:eastAsia="Aptos" w:hAnsi="Cambria"/>
          <w:kern w:val="2"/>
          <w:lang w:val="sv-SE" w:eastAsia="en-US"/>
          <w14:ligatures w14:val="standardContextual"/>
        </w:rPr>
        <w:footnoteReference w:id="22"/>
      </w:r>
    </w:p>
    <w:p w14:paraId="4515BDF2" w14:textId="77777777" w:rsidR="00246A77" w:rsidRPr="00246A77" w:rsidRDefault="00246A77" w:rsidP="0062772E">
      <w:pPr>
        <w:jc w:val="both"/>
        <w:rPr>
          <w:rFonts w:ascii="Cambria" w:eastAsia="Aptos" w:hAnsi="Cambria"/>
          <w:kern w:val="2"/>
          <w:lang w:val="sv-SE" w:eastAsia="en-US"/>
          <w14:ligatures w14:val="standardContextual"/>
        </w:rPr>
      </w:pPr>
    </w:p>
    <w:p w14:paraId="167BEE2C" w14:textId="5952F672" w:rsidR="00246A77" w:rsidRPr="00246A77" w:rsidRDefault="00246A77" w:rsidP="001E7A7A">
      <w:pPr>
        <w:jc w:val="both"/>
        <w:rPr>
          <w:rFonts w:ascii="Cambria" w:eastAsia="MS Mincho" w:hAnsi="Cambria"/>
          <w:lang w:val="sv-SE"/>
        </w:rPr>
      </w:pPr>
      <w:r w:rsidRPr="00246A77">
        <w:rPr>
          <w:rFonts w:ascii="Cambria" w:eastAsia="MS Mincho" w:hAnsi="Cambria"/>
          <w:lang w:val="sv-SE"/>
        </w:rPr>
        <w:t>Sammantaget ger internationel</w:t>
      </w:r>
      <w:r w:rsidR="00A077EC">
        <w:rPr>
          <w:rFonts w:ascii="Cambria" w:eastAsia="MS Mincho" w:hAnsi="Cambria"/>
          <w:lang w:val="sv-SE"/>
        </w:rPr>
        <w:t>l</w:t>
      </w:r>
      <w:r w:rsidRPr="00246A77">
        <w:rPr>
          <w:rFonts w:ascii="Cambria" w:eastAsia="MS Mincho" w:hAnsi="Cambria"/>
          <w:lang w:val="sv-SE"/>
        </w:rPr>
        <w:t xml:space="preserve"> </w:t>
      </w:r>
      <w:r w:rsidR="0058028A">
        <w:rPr>
          <w:rFonts w:ascii="Cambria" w:eastAsia="MS Mincho" w:hAnsi="Cambria"/>
          <w:lang w:val="sv-SE"/>
        </w:rPr>
        <w:t>forskning</w:t>
      </w:r>
      <w:r w:rsidR="0058028A" w:rsidRPr="00246A77">
        <w:rPr>
          <w:rFonts w:ascii="Cambria" w:eastAsia="MS Mincho" w:hAnsi="Cambria"/>
          <w:lang w:val="sv-SE"/>
        </w:rPr>
        <w:t xml:space="preserve"> </w:t>
      </w:r>
      <w:r w:rsidRPr="00246A77">
        <w:rPr>
          <w:rFonts w:ascii="Cambria" w:eastAsia="MS Mincho" w:hAnsi="Cambria"/>
          <w:lang w:val="sv-SE"/>
        </w:rPr>
        <w:t xml:space="preserve">inte något stöd för att mer vård i offentlig regi och avskaffade vårdval kommer att leda till högre kvalitet och lägre </w:t>
      </w:r>
      <w:r w:rsidRPr="00246A77">
        <w:rPr>
          <w:rFonts w:ascii="Cambria" w:eastAsia="MS Mincho" w:hAnsi="Cambria"/>
          <w:lang w:val="sv-SE"/>
        </w:rPr>
        <w:lastRenderedPageBreak/>
        <w:t xml:space="preserve">behandlingskostnader. Snarare verkar det troligt att vårdval och privata vårdgivare i </w:t>
      </w:r>
      <w:r w:rsidR="0058028A">
        <w:rPr>
          <w:rFonts w:ascii="Cambria" w:eastAsia="MS Mincho" w:hAnsi="Cambria"/>
          <w:lang w:val="sv-SE"/>
        </w:rPr>
        <w:t>flera</w:t>
      </w:r>
      <w:r w:rsidR="0058028A" w:rsidRPr="00246A77">
        <w:rPr>
          <w:rFonts w:ascii="Cambria" w:eastAsia="MS Mincho" w:hAnsi="Cambria"/>
          <w:lang w:val="sv-SE"/>
        </w:rPr>
        <w:t xml:space="preserve"> </w:t>
      </w:r>
      <w:r w:rsidRPr="00246A77">
        <w:rPr>
          <w:rFonts w:ascii="Cambria" w:eastAsia="MS Mincho" w:hAnsi="Cambria"/>
          <w:lang w:val="sv-SE"/>
        </w:rPr>
        <w:t>fall leder till högre kvalitet</w:t>
      </w:r>
      <w:r w:rsidR="002035C2">
        <w:rPr>
          <w:rFonts w:ascii="Cambria" w:eastAsia="MS Mincho" w:hAnsi="Cambria"/>
          <w:lang w:val="sv-SE"/>
        </w:rPr>
        <w:t xml:space="preserve">, bättre </w:t>
      </w:r>
      <w:r w:rsidR="0058028A">
        <w:rPr>
          <w:rFonts w:ascii="Cambria" w:eastAsia="MS Mincho" w:hAnsi="Cambria"/>
          <w:lang w:val="sv-SE"/>
        </w:rPr>
        <w:t>tillgänglighet</w:t>
      </w:r>
      <w:r w:rsidRPr="00246A77">
        <w:rPr>
          <w:rFonts w:ascii="Cambria" w:eastAsia="MS Mincho" w:hAnsi="Cambria"/>
          <w:lang w:val="sv-SE"/>
        </w:rPr>
        <w:t xml:space="preserve"> och lägre kostnader. </w:t>
      </w:r>
    </w:p>
    <w:p w14:paraId="2B6CD073" w14:textId="77777777" w:rsidR="00246A77" w:rsidRPr="00246A77" w:rsidRDefault="00246A77" w:rsidP="00B77CE2">
      <w:pPr>
        <w:keepNext/>
        <w:keepLines/>
        <w:numPr>
          <w:ilvl w:val="1"/>
          <w:numId w:val="2"/>
        </w:numPr>
        <w:spacing w:before="200" w:after="160" w:line="259" w:lineRule="auto"/>
        <w:ind w:left="0" w:firstLine="0"/>
        <w:jc w:val="both"/>
        <w:outlineLvl w:val="0"/>
        <w:rPr>
          <w:rFonts w:ascii="Cambria" w:eastAsia="MS Gothic" w:hAnsi="Cambria"/>
          <w:b/>
          <w:bCs/>
          <w:color w:val="345A8A"/>
          <w:lang w:val="sv-SE" w:eastAsia="en-US"/>
        </w:rPr>
      </w:pPr>
      <w:bookmarkStart w:id="17" w:name="_Toc162017215"/>
      <w:bookmarkStart w:id="18" w:name="_Toc164353528"/>
      <w:r w:rsidRPr="00246A77">
        <w:rPr>
          <w:rFonts w:ascii="Cambria" w:eastAsia="MS Gothic" w:hAnsi="Cambria"/>
          <w:b/>
          <w:bCs/>
          <w:color w:val="345A8A"/>
          <w:lang w:val="sv-SE" w:eastAsia="en-US"/>
        </w:rPr>
        <w:t>Svenska studier</w:t>
      </w:r>
      <w:bookmarkEnd w:id="17"/>
      <w:bookmarkEnd w:id="18"/>
    </w:p>
    <w:p w14:paraId="05194AA9" w14:textId="1DC05C48" w:rsidR="00246A77" w:rsidRPr="00246A77" w:rsidRDefault="00246A77" w:rsidP="00B77CE2">
      <w:pPr>
        <w:jc w:val="both"/>
        <w:rPr>
          <w:rFonts w:ascii="Cambria" w:eastAsia="MS Mincho" w:hAnsi="Cambria"/>
          <w:lang w:val="sv-SE" w:eastAsia="en-US"/>
        </w:rPr>
      </w:pPr>
      <w:r w:rsidRPr="00246A77">
        <w:rPr>
          <w:rFonts w:ascii="Cambria" w:eastAsia="MS Mincho" w:hAnsi="Cambria"/>
          <w:lang w:val="sv-SE" w:eastAsia="en-US"/>
        </w:rPr>
        <w:t xml:space="preserve">För specialiserad vård finns det ganska få svenska studier som jämför privata och offentliga vårdgivare eller som studerar införandet av vårdval. Jämförelserna försvåras både av datatillgång och andra samtida förändringar i vården. En annan komplikation är att Region Stockholm (tidigare Stockholms läns landsting) har mycket mer privat vård och många fler vårdval än övriga regioner. Därför behandlar nästan alla studier Region Stockholm, varav flera </w:t>
      </w:r>
      <w:r w:rsidR="00C75EF0">
        <w:rPr>
          <w:rFonts w:ascii="Cambria" w:eastAsia="MS Mincho" w:hAnsi="Cambria"/>
          <w:lang w:val="sv-SE" w:eastAsia="en-US"/>
        </w:rPr>
        <w:t xml:space="preserve">antingen </w:t>
      </w:r>
      <w:r w:rsidRPr="00246A77">
        <w:rPr>
          <w:rFonts w:ascii="Cambria" w:eastAsia="MS Mincho" w:hAnsi="Cambria"/>
          <w:lang w:val="sv-SE" w:eastAsia="en-US"/>
        </w:rPr>
        <w:t xml:space="preserve">är utförda </w:t>
      </w:r>
      <w:r w:rsidR="00C75EF0">
        <w:rPr>
          <w:rFonts w:ascii="Cambria" w:eastAsia="MS Mincho" w:hAnsi="Cambria"/>
          <w:lang w:val="sv-SE" w:eastAsia="en-US"/>
        </w:rPr>
        <w:t xml:space="preserve">av eller beställda av regionen. </w:t>
      </w:r>
      <w:r w:rsidRPr="00246A77">
        <w:rPr>
          <w:rFonts w:ascii="Cambria" w:eastAsia="MS Mincho" w:hAnsi="Cambria"/>
          <w:lang w:val="sv-SE" w:eastAsia="en-US"/>
        </w:rPr>
        <w:t xml:space="preserve"> Studiernas relevans är därmed hög, även om studiedesign och metod inte </w:t>
      </w:r>
      <w:r w:rsidR="005232AE">
        <w:rPr>
          <w:rFonts w:ascii="Cambria" w:eastAsia="MS Mincho" w:hAnsi="Cambria"/>
          <w:lang w:val="sv-SE" w:eastAsia="en-US"/>
        </w:rPr>
        <w:t xml:space="preserve">är problemfria. Liknande metodproblem som vi i avsnitt 3 beskrev för ögonsjukvården förekommer även i publicerade artiklar och utredningar, vilket innebär att flera av de svenska studiernas slutsatser är mer osäkra än vad man kan tro efter en snabb genomläsning.   </w:t>
      </w:r>
    </w:p>
    <w:p w14:paraId="3651DB76" w14:textId="77777777" w:rsidR="00246A77" w:rsidRPr="00246A77" w:rsidRDefault="00246A77" w:rsidP="00B77CE2">
      <w:pPr>
        <w:jc w:val="both"/>
        <w:rPr>
          <w:rFonts w:ascii="Cambria" w:eastAsia="MS Mincho" w:hAnsi="Cambria"/>
          <w:lang w:val="sv-SE" w:eastAsia="en-US"/>
        </w:rPr>
      </w:pPr>
    </w:p>
    <w:p w14:paraId="7D5CFBD4" w14:textId="77777777" w:rsidR="00246A77" w:rsidRPr="00246A77" w:rsidRDefault="00246A77" w:rsidP="00B77CE2">
      <w:pPr>
        <w:jc w:val="both"/>
        <w:rPr>
          <w:rFonts w:ascii="Cambria" w:eastAsia="MS Mincho" w:hAnsi="Cambria"/>
          <w:i/>
          <w:iCs/>
          <w:lang w:val="sv-SE" w:eastAsia="en-US"/>
        </w:rPr>
      </w:pPr>
      <w:r w:rsidRPr="00246A77">
        <w:rPr>
          <w:rFonts w:ascii="Cambria" w:eastAsia="MS Mincho" w:hAnsi="Cambria"/>
          <w:i/>
          <w:iCs/>
          <w:lang w:val="sv-SE" w:eastAsia="en-US"/>
        </w:rPr>
        <w:t>Jämförelser av privata och offentliga vårdgivare</w:t>
      </w:r>
    </w:p>
    <w:p w14:paraId="7335FC88" w14:textId="5605E5B2" w:rsidR="00246A77" w:rsidRPr="00246A77" w:rsidRDefault="00246A77" w:rsidP="00B77CE2">
      <w:pPr>
        <w:jc w:val="both"/>
        <w:rPr>
          <w:rFonts w:ascii="Cambria" w:eastAsia="MS Mincho" w:hAnsi="Cambria"/>
          <w:lang w:val="sv-SE" w:eastAsia="en-US"/>
        </w:rPr>
      </w:pPr>
      <w:r w:rsidRPr="00246A77">
        <w:rPr>
          <w:rFonts w:ascii="Cambria" w:eastAsia="MS Mincho" w:hAnsi="Cambria"/>
          <w:lang w:val="sv-SE" w:eastAsia="en-US"/>
        </w:rPr>
        <w:t xml:space="preserve">Stockholms läns landsting publicerade 2015 en jämförande studie av effektiviteten vid akutsjukhusen Capio S:t Görans sjukhus, Danderyds sjukhus och Södersjukhuset. Dessa sjukhus är jämförbara eftersom de liknar varandra i flera dimensioner. De har bland annat liknande fördelning både mellan akut och </w:t>
      </w:r>
      <w:proofErr w:type="spellStart"/>
      <w:r w:rsidRPr="00246A77">
        <w:rPr>
          <w:rFonts w:ascii="Cambria" w:eastAsia="MS Mincho" w:hAnsi="Cambria"/>
          <w:lang w:val="sv-SE" w:eastAsia="en-US"/>
        </w:rPr>
        <w:t>elektiv</w:t>
      </w:r>
      <w:proofErr w:type="spellEnd"/>
      <w:r w:rsidRPr="00246A77">
        <w:rPr>
          <w:rFonts w:ascii="Cambria" w:eastAsia="MS Mincho" w:hAnsi="Cambria"/>
          <w:lang w:val="sv-SE" w:eastAsia="en-US"/>
        </w:rPr>
        <w:t xml:space="preserve"> vård och mellan öppenvård och slutenvård, samt liknande patientunderlag. Slutsatsen blev att det privata Capio S:t Görans sjukhus producerade vård mer effektivt än de två offentliga sjukhusen. Kostnadsskillnaden per DRG-poäng var 2‒6 procent till Capio S:t Görans fördel. Capio S:t Göran betalade en något högre totalersättning per anställd, men hade samtidigt en betydligt högre personalproduktivitet. Capio S:t Görans sjukhus hade även nöjdare medarbetare, något högre patientupplevd kvalitet samt något högre medicinsk kvalitet enligt flera parametrar (</w:t>
      </w:r>
      <w:r w:rsidR="0050037E">
        <w:rPr>
          <w:rFonts w:ascii="Cambria" w:eastAsia="MS Mincho" w:hAnsi="Cambria"/>
          <w:lang w:val="sv-SE" w:eastAsia="en-US"/>
        </w:rPr>
        <w:t>SLL</w:t>
      </w:r>
      <w:r w:rsidRPr="00246A77">
        <w:rPr>
          <w:rFonts w:ascii="Cambria" w:eastAsia="MS Mincho" w:hAnsi="Cambria"/>
          <w:lang w:val="sv-SE" w:eastAsia="en-US"/>
        </w:rPr>
        <w:t xml:space="preserve"> 2015).  </w:t>
      </w:r>
    </w:p>
    <w:p w14:paraId="7925EBCF" w14:textId="77777777" w:rsidR="00246A77" w:rsidRPr="00246A77" w:rsidRDefault="00246A77" w:rsidP="00B77CE2">
      <w:pPr>
        <w:jc w:val="both"/>
        <w:rPr>
          <w:rFonts w:ascii="Cambria" w:eastAsia="MS Mincho" w:hAnsi="Cambria"/>
          <w:lang w:val="sv-SE" w:eastAsia="en-US"/>
        </w:rPr>
      </w:pPr>
    </w:p>
    <w:p w14:paraId="3ED44E86" w14:textId="77777777" w:rsidR="00246A77" w:rsidRPr="00246A77" w:rsidRDefault="00246A77" w:rsidP="00B77CE2">
      <w:pPr>
        <w:jc w:val="both"/>
        <w:rPr>
          <w:rFonts w:ascii="Cambria" w:eastAsia="MS Mincho" w:hAnsi="Cambria"/>
          <w:lang w:val="sv-SE" w:eastAsia="en-US"/>
        </w:rPr>
      </w:pPr>
      <w:r w:rsidRPr="00246A77">
        <w:rPr>
          <w:rFonts w:ascii="Cambria" w:eastAsia="MS Mincho" w:hAnsi="Cambria"/>
          <w:lang w:val="sv-SE" w:eastAsia="en-US"/>
        </w:rPr>
        <w:t xml:space="preserve">Även en studie av analysföretaget </w:t>
      </w:r>
      <w:proofErr w:type="spellStart"/>
      <w:r w:rsidRPr="00246A77">
        <w:rPr>
          <w:rFonts w:ascii="Cambria" w:eastAsia="MS Mincho" w:hAnsi="Cambria"/>
          <w:lang w:val="sv-SE" w:eastAsia="en-US"/>
        </w:rPr>
        <w:t>Sirona</w:t>
      </w:r>
      <w:proofErr w:type="spellEnd"/>
      <w:r w:rsidRPr="00246A77">
        <w:rPr>
          <w:rFonts w:ascii="Cambria" w:eastAsia="MS Mincho" w:hAnsi="Cambria"/>
          <w:lang w:val="sv-SE" w:eastAsia="en-US"/>
        </w:rPr>
        <w:t xml:space="preserve"> (2021) visar att den ersättning som svenska regioner betalar till privata vårdgivare i flera fall ligger betydligt under regionernas egna kostnader för samma behandlingar.  Ersättningen till privata vårdgivare var 21‒35 procent lägre för höftprotesoperationer och 21‒63 procent lägre för operationer av grå starr jämfört med kostnaden för samma operationer på offentliga sjukhus.</w:t>
      </w:r>
    </w:p>
    <w:p w14:paraId="71D53AED" w14:textId="77777777" w:rsidR="00246A77" w:rsidRPr="00246A77" w:rsidRDefault="00246A77" w:rsidP="00B77CE2">
      <w:pPr>
        <w:jc w:val="both"/>
        <w:rPr>
          <w:rFonts w:ascii="Cambria" w:eastAsia="MS Mincho" w:hAnsi="Cambria"/>
          <w:lang w:val="sv-SE" w:eastAsia="en-US"/>
        </w:rPr>
      </w:pPr>
      <w:r w:rsidRPr="00246A77">
        <w:rPr>
          <w:rFonts w:ascii="Cambria" w:eastAsia="MS Mincho" w:hAnsi="Cambria"/>
          <w:lang w:val="sv-SE" w:eastAsia="en-US"/>
        </w:rPr>
        <w:t xml:space="preserve"> </w:t>
      </w:r>
    </w:p>
    <w:p w14:paraId="1C42848B" w14:textId="2B488B68" w:rsidR="00246A77" w:rsidRPr="00246A77" w:rsidRDefault="00246A77" w:rsidP="00B77CE2">
      <w:pPr>
        <w:jc w:val="both"/>
        <w:rPr>
          <w:rFonts w:ascii="Cambria" w:eastAsia="MS Mincho" w:hAnsi="Cambria"/>
          <w:lang w:val="sv-SE" w:eastAsia="en-US"/>
        </w:rPr>
      </w:pPr>
      <w:r w:rsidRPr="00246A77">
        <w:rPr>
          <w:rFonts w:ascii="Cambria" w:eastAsia="MS Mincho" w:hAnsi="Cambria"/>
          <w:lang w:val="sv-SE" w:eastAsia="en-US"/>
        </w:rPr>
        <w:t xml:space="preserve">I en studie av Stockholms ambulanssjukvård visar Knutsson och Tyrefors (2022) att privata ambulanser </w:t>
      </w:r>
      <w:r w:rsidR="000F510E">
        <w:rPr>
          <w:rFonts w:ascii="Cambria" w:eastAsia="MS Mincho" w:hAnsi="Cambria"/>
          <w:lang w:val="sv-SE" w:eastAsia="en-US"/>
        </w:rPr>
        <w:t xml:space="preserve">har </w:t>
      </w:r>
      <w:r w:rsidRPr="00246A77">
        <w:rPr>
          <w:rFonts w:ascii="Cambria" w:eastAsia="MS Mincho" w:hAnsi="Cambria"/>
          <w:lang w:val="sv-SE" w:eastAsia="en-US"/>
        </w:rPr>
        <w:t xml:space="preserve">varit 7 procent snabbare och 24 procent billigare än offentliga ambulanser, men att fler patienter avled bland dem som blivit tilldelade en privat ambulans (1,3 promilles ökad 30-dagarsmortalitet). Lägre dödlighet är ett argument för offentlig ambulanssjukvård, men det är märkligt att Hälso- och sjukvårdsnämnden i Region Stockholm förväntar sig minskade kostnader genom att organisera </w:t>
      </w:r>
      <w:proofErr w:type="spellStart"/>
      <w:r w:rsidRPr="00246A77">
        <w:rPr>
          <w:rFonts w:ascii="Cambria" w:eastAsia="MS Mincho" w:hAnsi="Cambria"/>
          <w:lang w:val="sv-SE" w:eastAsia="en-US"/>
        </w:rPr>
        <w:t>vägburen</w:t>
      </w:r>
      <w:proofErr w:type="spellEnd"/>
      <w:r w:rsidRPr="00246A77">
        <w:rPr>
          <w:rFonts w:ascii="Cambria" w:eastAsia="MS Mincho" w:hAnsi="Cambria"/>
          <w:lang w:val="sv-SE" w:eastAsia="en-US"/>
        </w:rPr>
        <w:t xml:space="preserve"> ambulanssjukvård helt i egen regi. I det aktuella tjänsteutlåtandet (HSN </w:t>
      </w:r>
      <w:proofErr w:type="gramStart"/>
      <w:r w:rsidRPr="00246A77">
        <w:rPr>
          <w:rFonts w:ascii="Cambria" w:eastAsia="MS Mincho" w:hAnsi="Cambria"/>
          <w:lang w:val="sv-SE" w:eastAsia="en-US"/>
        </w:rPr>
        <w:t>2023-0665</w:t>
      </w:r>
      <w:proofErr w:type="gramEnd"/>
      <w:r w:rsidRPr="00246A77">
        <w:rPr>
          <w:rFonts w:ascii="Cambria" w:eastAsia="MS Mincho" w:hAnsi="Cambria"/>
          <w:lang w:val="sv-SE" w:eastAsia="en-US"/>
        </w:rPr>
        <w:t xml:space="preserve">) nämns en kostnadsreducering på en procent eller cirka 10 miljoner kronor, trots att privat ambulanssjukvård alltså har varit 24 procent billigare än offentlig. </w:t>
      </w:r>
      <w:r w:rsidR="000F510E">
        <w:rPr>
          <w:rFonts w:ascii="Cambria" w:eastAsia="MS Mincho" w:hAnsi="Cambria"/>
          <w:lang w:val="sv-SE" w:eastAsia="en-US"/>
        </w:rPr>
        <w:t xml:space="preserve">Utan vidare analyser </w:t>
      </w:r>
      <w:r w:rsidR="000D495E">
        <w:rPr>
          <w:rFonts w:ascii="Cambria" w:eastAsia="MS Mincho" w:hAnsi="Cambria"/>
          <w:lang w:val="sv-SE" w:eastAsia="en-US"/>
        </w:rPr>
        <w:t>kan</w:t>
      </w:r>
      <w:r w:rsidR="00617EB2">
        <w:rPr>
          <w:rFonts w:ascii="Cambria" w:eastAsia="MS Mincho" w:hAnsi="Cambria"/>
          <w:lang w:val="sv-SE" w:eastAsia="en-US"/>
        </w:rPr>
        <w:t xml:space="preserve"> </w:t>
      </w:r>
      <w:r w:rsidR="000F510E">
        <w:rPr>
          <w:rFonts w:ascii="Cambria" w:eastAsia="MS Mincho" w:hAnsi="Cambria"/>
          <w:lang w:val="sv-SE" w:eastAsia="en-US"/>
        </w:rPr>
        <w:t>den förespeglade besparing</w:t>
      </w:r>
      <w:r w:rsidR="00B112E8">
        <w:rPr>
          <w:rFonts w:ascii="Cambria" w:eastAsia="MS Mincho" w:hAnsi="Cambria"/>
          <w:lang w:val="sv-SE" w:eastAsia="en-US"/>
        </w:rPr>
        <w:t>en</w:t>
      </w:r>
      <w:r w:rsidR="000F510E">
        <w:rPr>
          <w:rFonts w:ascii="Cambria" w:eastAsia="MS Mincho" w:hAnsi="Cambria"/>
          <w:lang w:val="sv-SE" w:eastAsia="en-US"/>
        </w:rPr>
        <w:t xml:space="preserve"> </w:t>
      </w:r>
      <w:r w:rsidR="000D495E">
        <w:rPr>
          <w:rFonts w:ascii="Cambria" w:eastAsia="MS Mincho" w:hAnsi="Cambria"/>
          <w:lang w:val="sv-SE" w:eastAsia="en-US"/>
        </w:rPr>
        <w:t xml:space="preserve">därmed inte betraktas som </w:t>
      </w:r>
      <w:r w:rsidR="00617EB2">
        <w:rPr>
          <w:rFonts w:ascii="Cambria" w:eastAsia="MS Mincho" w:hAnsi="Cambria"/>
          <w:lang w:val="sv-SE" w:eastAsia="en-US"/>
        </w:rPr>
        <w:t xml:space="preserve">en rimlig bedömning. </w:t>
      </w:r>
      <w:r w:rsidR="00B77CE2">
        <w:rPr>
          <w:rFonts w:ascii="Cambria" w:eastAsia="MS Mincho" w:hAnsi="Cambria"/>
          <w:lang w:val="sv-SE" w:eastAsia="en-US"/>
        </w:rPr>
        <w:t xml:space="preserve">(Det skulle också kunna vara så </w:t>
      </w:r>
      <w:r w:rsidR="00617EB2">
        <w:rPr>
          <w:rFonts w:ascii="Cambria" w:eastAsia="MS Mincho" w:hAnsi="Cambria"/>
          <w:lang w:val="sv-SE" w:eastAsia="en-US"/>
        </w:rPr>
        <w:t xml:space="preserve">att den högre mortaliteten inom den privata sektorn </w:t>
      </w:r>
      <w:r w:rsidR="00B77CE2">
        <w:rPr>
          <w:rFonts w:ascii="Cambria" w:eastAsia="MS Mincho" w:hAnsi="Cambria"/>
          <w:lang w:val="sv-SE" w:eastAsia="en-US"/>
        </w:rPr>
        <w:t xml:space="preserve">går att hantera </w:t>
      </w:r>
      <w:r w:rsidR="00176389">
        <w:rPr>
          <w:rFonts w:ascii="Cambria" w:eastAsia="MS Mincho" w:hAnsi="Cambria"/>
          <w:lang w:val="sv-SE" w:eastAsia="en-US"/>
        </w:rPr>
        <w:t>med ett annorlunda upphandlingsförfarande</w:t>
      </w:r>
      <w:r w:rsidR="00617EB2">
        <w:rPr>
          <w:rFonts w:ascii="Cambria" w:eastAsia="MS Mincho" w:hAnsi="Cambria"/>
          <w:lang w:val="sv-SE" w:eastAsia="en-US"/>
        </w:rPr>
        <w:t xml:space="preserve">, men som diskuterades i avsnitt 3 har inga </w:t>
      </w:r>
      <w:r w:rsidR="001506C6">
        <w:rPr>
          <w:rFonts w:ascii="Cambria" w:eastAsia="MS Mincho" w:hAnsi="Cambria"/>
          <w:lang w:val="sv-SE" w:eastAsia="en-US"/>
        </w:rPr>
        <w:t xml:space="preserve">sådana </w:t>
      </w:r>
      <w:r w:rsidR="00337B1C">
        <w:rPr>
          <w:rFonts w:ascii="Cambria" w:eastAsia="MS Mincho" w:hAnsi="Cambria"/>
          <w:lang w:val="sv-SE" w:eastAsia="en-US"/>
        </w:rPr>
        <w:t xml:space="preserve">jämförande </w:t>
      </w:r>
      <w:r w:rsidR="00617EB2">
        <w:rPr>
          <w:rFonts w:ascii="Cambria" w:eastAsia="MS Mincho" w:hAnsi="Cambria"/>
          <w:lang w:val="sv-SE" w:eastAsia="en-US"/>
        </w:rPr>
        <w:t>konsekvensanalyser av olika reformförslag genomförts.</w:t>
      </w:r>
      <w:r w:rsidR="00B77CE2">
        <w:rPr>
          <w:rFonts w:ascii="Cambria" w:eastAsia="MS Mincho" w:hAnsi="Cambria"/>
          <w:lang w:val="sv-SE" w:eastAsia="en-US"/>
        </w:rPr>
        <w:t>)</w:t>
      </w:r>
    </w:p>
    <w:p w14:paraId="3EE39872" w14:textId="77777777" w:rsidR="00246A77" w:rsidRPr="00246A77" w:rsidRDefault="00246A77" w:rsidP="00F65E16">
      <w:pPr>
        <w:jc w:val="both"/>
        <w:rPr>
          <w:rFonts w:ascii="Cambria" w:eastAsia="MS Mincho" w:hAnsi="Cambria"/>
          <w:lang w:val="sv-SE" w:eastAsia="en-US"/>
        </w:rPr>
      </w:pPr>
    </w:p>
    <w:p w14:paraId="3C5C1FFC" w14:textId="77777777" w:rsidR="00246A77" w:rsidRPr="00246A77" w:rsidRDefault="00246A77" w:rsidP="00F65E16">
      <w:pPr>
        <w:jc w:val="both"/>
        <w:rPr>
          <w:rFonts w:ascii="Cambria" w:eastAsia="MS Mincho" w:hAnsi="Cambria"/>
          <w:i/>
          <w:iCs/>
          <w:lang w:val="sv-SE" w:eastAsia="en-US"/>
        </w:rPr>
      </w:pPr>
      <w:r w:rsidRPr="00246A77">
        <w:rPr>
          <w:rFonts w:ascii="Cambria" w:eastAsia="MS Mincho" w:hAnsi="Cambria"/>
          <w:i/>
          <w:iCs/>
          <w:lang w:val="sv-SE" w:eastAsia="en-US"/>
        </w:rPr>
        <w:lastRenderedPageBreak/>
        <w:t>Vårdval</w:t>
      </w:r>
    </w:p>
    <w:p w14:paraId="3543E6D5" w14:textId="3E135452" w:rsidR="00246A77" w:rsidRPr="00246A77" w:rsidRDefault="00246A77" w:rsidP="00F65E16">
      <w:pPr>
        <w:jc w:val="both"/>
        <w:rPr>
          <w:rFonts w:ascii="Cambria" w:eastAsia="MS Mincho" w:hAnsi="Cambria"/>
          <w:lang w:val="sv-SE" w:eastAsia="en-US"/>
        </w:rPr>
      </w:pPr>
      <w:r w:rsidRPr="00246A77">
        <w:rPr>
          <w:rFonts w:ascii="Cambria" w:eastAsia="MS Mincho" w:hAnsi="Cambria"/>
          <w:lang w:val="sv-SE" w:eastAsia="en-US"/>
        </w:rPr>
        <w:t>De allra flesta svenska studier av vårdval har behandlat primärvården, där införandet av vårdval har förbättrat tillgänglighet, utbud, mångfald och valfrihet. Vårdkonsumtionen har ökat i alla grupper, men mer i socioekonomiskt starka än i socioekonomiskt svaga grupper (</w:t>
      </w:r>
      <w:r w:rsidR="00481A69">
        <w:rPr>
          <w:rFonts w:ascii="Cambria" w:eastAsia="MS Mincho" w:hAnsi="Cambria"/>
          <w:lang w:val="sv-SE" w:eastAsia="en-US"/>
        </w:rPr>
        <w:t>SLL</w:t>
      </w:r>
      <w:r w:rsidRPr="00246A77">
        <w:rPr>
          <w:rFonts w:ascii="Cambria" w:eastAsia="MS Mincho" w:hAnsi="Cambria"/>
          <w:lang w:val="sv-SE" w:eastAsia="en-US"/>
        </w:rPr>
        <w:t xml:space="preserve"> 2017). Vårdvalet har också gjort patienterna något mer nöjda med </w:t>
      </w:r>
      <w:r w:rsidR="001506C6">
        <w:rPr>
          <w:rFonts w:ascii="Cambria" w:eastAsia="MS Mincho" w:hAnsi="Cambria"/>
          <w:lang w:val="sv-SE" w:eastAsia="en-US"/>
        </w:rPr>
        <w:t>primär</w:t>
      </w:r>
      <w:r w:rsidRPr="00246A77">
        <w:rPr>
          <w:rFonts w:ascii="Cambria" w:eastAsia="MS Mincho" w:hAnsi="Cambria"/>
          <w:lang w:val="sv-SE" w:eastAsia="en-US"/>
        </w:rPr>
        <w:t xml:space="preserve">vården, men utan att påverka medicinsk kvalitet (Dietrichson </w:t>
      </w:r>
      <w:proofErr w:type="gramStart"/>
      <w:r w:rsidRPr="00246A77">
        <w:rPr>
          <w:rFonts w:ascii="Cambria" w:eastAsia="MS Mincho" w:hAnsi="Cambria"/>
          <w:lang w:val="sv-SE" w:eastAsia="en-US"/>
        </w:rPr>
        <w:t>m.fl.</w:t>
      </w:r>
      <w:proofErr w:type="gramEnd"/>
      <w:r w:rsidRPr="00246A77">
        <w:rPr>
          <w:rFonts w:ascii="Cambria" w:eastAsia="MS Mincho" w:hAnsi="Cambria"/>
          <w:lang w:val="sv-SE" w:eastAsia="en-US"/>
        </w:rPr>
        <w:t xml:space="preserve"> 2020).  </w:t>
      </w:r>
    </w:p>
    <w:p w14:paraId="08FB3C85" w14:textId="77777777" w:rsidR="00246A77" w:rsidRPr="00246A77" w:rsidRDefault="00246A77" w:rsidP="00F65E16">
      <w:pPr>
        <w:jc w:val="both"/>
        <w:rPr>
          <w:rFonts w:ascii="Cambria" w:eastAsia="MS Mincho" w:hAnsi="Cambria"/>
          <w:lang w:val="sv-SE" w:eastAsia="en-US"/>
        </w:rPr>
      </w:pPr>
    </w:p>
    <w:p w14:paraId="294D6434" w14:textId="560059B3" w:rsidR="00246A77" w:rsidRPr="00246A77" w:rsidRDefault="00246A77" w:rsidP="00F65E16">
      <w:pPr>
        <w:jc w:val="both"/>
        <w:rPr>
          <w:rFonts w:ascii="Cambria" w:eastAsia="MS Mincho" w:hAnsi="Cambria"/>
          <w:lang w:val="sv-SE" w:eastAsia="en-US"/>
        </w:rPr>
      </w:pPr>
      <w:r w:rsidRPr="00246A77">
        <w:rPr>
          <w:rFonts w:ascii="Cambria" w:eastAsia="MS Mincho" w:hAnsi="Cambria"/>
          <w:lang w:val="sv-SE" w:eastAsia="en-US"/>
        </w:rPr>
        <w:t>En tidig analys av fyra vårdval (gynekologi, hud, ögon och öron-näsa-hals) genomfördes i Stockholms läns landsting 2013. Dessa vårdval med tillhörande utflyttning av specialistvård från akutsjukhusen ökade specialistvårdens tillgänglighet och minskade väntetiderna. Kvalitetseffekterna var mer osäkra, men tydde på oförändrad eller något högre medicinsk och patientupplevd kvalitet (</w:t>
      </w:r>
      <w:r w:rsidR="00481A69">
        <w:rPr>
          <w:rFonts w:ascii="Cambria" w:eastAsia="MS Mincho" w:hAnsi="Cambria"/>
          <w:lang w:val="sv-SE" w:eastAsia="en-US"/>
        </w:rPr>
        <w:t>SLL</w:t>
      </w:r>
      <w:r w:rsidRPr="00246A77">
        <w:rPr>
          <w:rFonts w:ascii="Cambria" w:eastAsia="MS Mincho" w:hAnsi="Cambria"/>
          <w:lang w:val="sv-SE" w:eastAsia="en-US"/>
        </w:rPr>
        <w:t xml:space="preserve"> 2013).  </w:t>
      </w:r>
    </w:p>
    <w:p w14:paraId="1909E6F9" w14:textId="77777777" w:rsidR="00246A77" w:rsidRPr="00246A77" w:rsidRDefault="00246A77" w:rsidP="00F65E16">
      <w:pPr>
        <w:jc w:val="both"/>
        <w:rPr>
          <w:rFonts w:ascii="Cambria" w:eastAsia="MS Mincho" w:hAnsi="Cambria"/>
          <w:lang w:val="sv-SE" w:eastAsia="en-US"/>
        </w:rPr>
      </w:pPr>
    </w:p>
    <w:p w14:paraId="2BEEAE42" w14:textId="667E1C9D" w:rsidR="00246A77" w:rsidRPr="00246A77" w:rsidRDefault="00246A77" w:rsidP="00F65E16">
      <w:pPr>
        <w:jc w:val="both"/>
        <w:rPr>
          <w:rFonts w:ascii="Cambria" w:eastAsia="MS Mincho" w:hAnsi="Cambria"/>
          <w:lang w:val="sv-SE" w:eastAsia="en-US"/>
        </w:rPr>
      </w:pPr>
      <w:r w:rsidRPr="00246A77">
        <w:rPr>
          <w:rFonts w:ascii="Cambria" w:eastAsia="MS Mincho" w:hAnsi="Cambria"/>
          <w:lang w:val="sv-SE" w:eastAsia="en-US"/>
        </w:rPr>
        <w:t xml:space="preserve">Region Stockholms vårdval för ryggkirurgi har utvärderats i en rapport av två forskare vid Centrum för utvärdering av medicinsk teknologi vid Linköpings universitet (Eriksson och Levin 2018). Vårdval ryggkirurgi infördes i Stockholms län 2013 med en vårdepisodbaserad ersättning med ett tillägg baserat på patienternas upplevda smärta ett år efter operation. Rapporten visar att antalet opererade patienter ökade med 17 procent efter vårdvalets införande samtidigt som kostnaden per operation minskade. Produktionsökningen fyllde ett behov; även om den som opererades inte fick högre livskvalitet med vårdval, så ökade den sammanlagda livskvaliteten när fler personer kunde opereras. En annan viktig vinst var att antalet sjukskrivna patienter minskade. Ersättningsmodellens utformning lyfts fram som viktig. Modellens komplexitet har gett upphov till administrativa kostnader samtidigt som den prestationsbaserade delen av ersättningen har uppfattats som för låg för att generera tydliga effekter. </w:t>
      </w:r>
    </w:p>
    <w:p w14:paraId="7E9FDE9B" w14:textId="77777777" w:rsidR="00246A77" w:rsidRPr="00246A77" w:rsidRDefault="00246A77" w:rsidP="00F65E16">
      <w:pPr>
        <w:jc w:val="both"/>
        <w:rPr>
          <w:rFonts w:ascii="Cambria" w:eastAsia="MS Mincho" w:hAnsi="Cambria"/>
          <w:lang w:val="sv-SE" w:eastAsia="en-US"/>
        </w:rPr>
      </w:pPr>
    </w:p>
    <w:p w14:paraId="562BEF32" w14:textId="5D8B0125" w:rsidR="00246A77" w:rsidRPr="00246A77" w:rsidRDefault="00246A77" w:rsidP="00F65E16">
      <w:pPr>
        <w:jc w:val="both"/>
        <w:rPr>
          <w:rFonts w:ascii="Cambria" w:eastAsia="MS Mincho" w:hAnsi="Cambria"/>
          <w:lang w:val="sv-SE" w:eastAsia="en-US"/>
        </w:rPr>
      </w:pPr>
      <w:r w:rsidRPr="00246A77">
        <w:rPr>
          <w:rFonts w:ascii="Cambria" w:eastAsia="MS Mincho" w:hAnsi="Cambria"/>
          <w:lang w:val="sv-SE" w:eastAsia="en-US"/>
        </w:rPr>
        <w:t xml:space="preserve">Vårdval för höft- och knäprotesoperationer infördes i Stockholms läns landsting 2009. En studie av Goude </w:t>
      </w:r>
      <w:proofErr w:type="gramStart"/>
      <w:r w:rsidRPr="00246A77">
        <w:rPr>
          <w:rFonts w:ascii="Cambria" w:eastAsia="MS Mincho" w:hAnsi="Cambria"/>
          <w:lang w:val="sv-SE" w:eastAsia="en-US"/>
        </w:rPr>
        <w:t>m.fl.</w:t>
      </w:r>
      <w:proofErr w:type="gramEnd"/>
      <w:r w:rsidRPr="00246A77">
        <w:rPr>
          <w:rFonts w:ascii="Cambria" w:eastAsia="MS Mincho" w:hAnsi="Cambria"/>
          <w:lang w:val="sv-SE" w:eastAsia="en-US"/>
        </w:rPr>
        <w:t xml:space="preserve"> (2022) fokuserar på höftprotesoperationer</w:t>
      </w:r>
      <w:r w:rsidR="00337B1C">
        <w:rPr>
          <w:rFonts w:ascii="Cambria" w:eastAsia="MS Mincho" w:hAnsi="Cambria"/>
          <w:lang w:val="sv-SE" w:eastAsia="en-US"/>
        </w:rPr>
        <w:t>na</w:t>
      </w:r>
      <w:r w:rsidRPr="00246A77">
        <w:rPr>
          <w:rFonts w:ascii="Cambria" w:eastAsia="MS Mincho" w:hAnsi="Cambria"/>
          <w:lang w:val="sv-SE" w:eastAsia="en-US"/>
        </w:rPr>
        <w:t xml:space="preserve">. Före reformen hade de flesta höftprotesoperationer utförts vid akutsjukhus men med reformen flyttade operationerna successivt över till mindre privata vårdgivare. Goude </w:t>
      </w:r>
      <w:proofErr w:type="gramStart"/>
      <w:r w:rsidRPr="00246A77">
        <w:rPr>
          <w:rFonts w:ascii="Cambria" w:eastAsia="MS Mincho" w:hAnsi="Cambria"/>
          <w:lang w:val="sv-SE" w:eastAsia="en-US"/>
        </w:rPr>
        <w:t>m.fl.</w:t>
      </w:r>
      <w:proofErr w:type="gramEnd"/>
      <w:r w:rsidRPr="00246A77">
        <w:rPr>
          <w:rFonts w:ascii="Cambria" w:eastAsia="MS Mincho" w:hAnsi="Cambria"/>
          <w:lang w:val="sv-SE" w:eastAsia="en-US"/>
        </w:rPr>
        <w:t xml:space="preserve"> (2022) visar att vårdvalet minskade förekomsten av ”negativa händelser” (komplikationer, ny operation, eller att patienten avled) med 1,6 procentenheter 90 dagar efter operation. Patienternas vistelsetid vid operationen minskade i hela landet, men minskade långsammare i Stockholm efter vårdvalets införande. Resultaten överensstämmer i stora drag med en tidigare studie av Wohlin </w:t>
      </w:r>
      <w:proofErr w:type="gramStart"/>
      <w:r w:rsidRPr="00246A77">
        <w:rPr>
          <w:rFonts w:ascii="Cambria" w:eastAsia="MS Mincho" w:hAnsi="Cambria"/>
          <w:lang w:val="sv-SE" w:eastAsia="en-US"/>
        </w:rPr>
        <w:t>m.fl.</w:t>
      </w:r>
      <w:proofErr w:type="gramEnd"/>
      <w:r w:rsidRPr="00246A77">
        <w:rPr>
          <w:rFonts w:ascii="Cambria" w:eastAsia="MS Mincho" w:hAnsi="Cambria"/>
          <w:lang w:val="sv-SE" w:eastAsia="en-US"/>
        </w:rPr>
        <w:t xml:space="preserve"> (2016), som även framhåller att landstingets kostnader per patient minskade med 20 procent så att totalkostnaden kunde minska med 3 procent trots att antalet operationer ökade med 21 procent.  </w:t>
      </w:r>
    </w:p>
    <w:p w14:paraId="61B17D2B" w14:textId="77777777" w:rsidR="00246A77" w:rsidRPr="00246A77" w:rsidRDefault="00246A77" w:rsidP="00F65E16">
      <w:pPr>
        <w:jc w:val="both"/>
        <w:rPr>
          <w:rFonts w:ascii="Cambria" w:eastAsia="MS Mincho" w:hAnsi="Cambria"/>
          <w:lang w:val="sv-SE" w:eastAsia="en-US"/>
        </w:rPr>
      </w:pPr>
    </w:p>
    <w:p w14:paraId="711BC7F0" w14:textId="77777777" w:rsidR="00246A77" w:rsidRPr="00246A77" w:rsidRDefault="00246A77" w:rsidP="00F65E16">
      <w:pPr>
        <w:jc w:val="both"/>
        <w:rPr>
          <w:rFonts w:eastAsia="MS Mincho"/>
          <w:i/>
          <w:iCs/>
          <w:lang w:val="sv-SE" w:eastAsia="en-US"/>
        </w:rPr>
      </w:pPr>
      <w:r w:rsidRPr="00246A77">
        <w:rPr>
          <w:rFonts w:eastAsia="MS Mincho"/>
          <w:i/>
          <w:iCs/>
          <w:lang w:val="sv-SE" w:eastAsia="en-US"/>
        </w:rPr>
        <w:t>Slutsatser från svenska studier</w:t>
      </w:r>
    </w:p>
    <w:p w14:paraId="2E02F55E" w14:textId="5F623148" w:rsidR="00272F92" w:rsidRPr="005A394A" w:rsidRDefault="00246A77" w:rsidP="00F65E16">
      <w:pPr>
        <w:jc w:val="both"/>
        <w:rPr>
          <w:rFonts w:ascii="Cambria" w:eastAsiaTheme="majorEastAsia" w:hAnsi="Cambria" w:cstheme="majorBidi"/>
          <w:b/>
          <w:bCs/>
          <w:color w:val="345A8A" w:themeColor="accent1" w:themeShade="B5"/>
          <w:lang w:val="sv-SE"/>
        </w:rPr>
      </w:pPr>
      <w:r w:rsidRPr="00246A77">
        <w:rPr>
          <w:rFonts w:ascii="Cambria" w:eastAsia="MS Mincho" w:hAnsi="Cambria"/>
          <w:lang w:val="sv-SE" w:eastAsia="en-US"/>
        </w:rPr>
        <w:t xml:space="preserve">Inte heller de svenska studierna ger stöd för att avskaffade vårdval och mer vård i offentlig regi kommer att ge högre kvalitet och lägre kostnader. Privata Capio S:t Görans sjukhus och andra privata vårdgivare framstår i flera fall som mer kostnadseffektiva än vård i offentlig regi. Däremot skulle ambulanssjukvårdens kvalitet </w:t>
      </w:r>
      <w:r w:rsidR="00481A69">
        <w:rPr>
          <w:rFonts w:ascii="Cambria" w:eastAsia="MS Mincho" w:hAnsi="Cambria"/>
          <w:lang w:val="sv-SE" w:eastAsia="en-US"/>
        </w:rPr>
        <w:t>möjligtvis</w:t>
      </w:r>
      <w:r w:rsidR="00481A69" w:rsidRPr="00246A77">
        <w:rPr>
          <w:rFonts w:ascii="Cambria" w:eastAsia="MS Mincho" w:hAnsi="Cambria"/>
          <w:lang w:val="sv-SE" w:eastAsia="en-US"/>
        </w:rPr>
        <w:t xml:space="preserve"> </w:t>
      </w:r>
      <w:r w:rsidRPr="00246A77">
        <w:rPr>
          <w:rFonts w:ascii="Cambria" w:eastAsia="MS Mincho" w:hAnsi="Cambria"/>
          <w:lang w:val="sv-SE" w:eastAsia="en-US"/>
        </w:rPr>
        <w:t xml:space="preserve">förbättras i offentlig regi, men då till en högre kostnad än i dag. </w:t>
      </w:r>
      <w:r w:rsidR="00481A69">
        <w:rPr>
          <w:rFonts w:ascii="Cambria" w:eastAsia="MS Mincho" w:hAnsi="Cambria"/>
          <w:lang w:val="sv-SE" w:eastAsia="en-US"/>
        </w:rPr>
        <w:t xml:space="preserve">Ett annat alternativ vore att justera upphandlingsförfarandet, vilket dock inte har utretts av förvaltningen. </w:t>
      </w:r>
      <w:r w:rsidR="00011E3E">
        <w:rPr>
          <w:rFonts w:ascii="Cambria" w:eastAsia="MS Mincho" w:hAnsi="Cambria"/>
          <w:lang w:val="sv-SE" w:eastAsia="en-US"/>
        </w:rPr>
        <w:t xml:space="preserve">Även om det finns svårlösta metodproblem i flera studier </w:t>
      </w:r>
      <w:r w:rsidRPr="00246A77">
        <w:rPr>
          <w:rFonts w:ascii="Cambria" w:eastAsia="MS Mincho" w:hAnsi="Cambria"/>
          <w:lang w:val="sv-SE" w:eastAsia="en-US"/>
        </w:rPr>
        <w:t>förefaller de studerade vårdvalen fungera väl</w:t>
      </w:r>
      <w:r w:rsidR="00011E3E">
        <w:rPr>
          <w:rFonts w:ascii="Cambria" w:eastAsia="MS Mincho" w:hAnsi="Cambria"/>
          <w:lang w:val="sv-SE" w:eastAsia="en-US"/>
        </w:rPr>
        <w:t xml:space="preserve">. </w:t>
      </w:r>
      <w:r w:rsidRPr="00246A77">
        <w:rPr>
          <w:rFonts w:ascii="Cambria" w:eastAsia="MS Mincho" w:hAnsi="Cambria"/>
          <w:lang w:val="sv-SE" w:eastAsia="en-US"/>
        </w:rPr>
        <w:t>Detta är särskilt tydligt inom ryggkirurgi samt höft- och knäprotesoperationer, men tidiga utredningar tyder på positiva effekter även för vårdvalen inom gynekologi, hud, ögon och öron-näsa-hals.</w:t>
      </w:r>
      <w:r w:rsidR="00272F92" w:rsidRPr="005A394A">
        <w:rPr>
          <w:rFonts w:ascii="Cambria" w:hAnsi="Cambria"/>
          <w:lang w:val="sv-SE"/>
        </w:rPr>
        <w:br w:type="page"/>
      </w:r>
    </w:p>
    <w:p w14:paraId="5E6A9BF5" w14:textId="68C2642B" w:rsidR="007562B4" w:rsidRPr="000C0D09" w:rsidRDefault="00AA4411" w:rsidP="001E7A7A">
      <w:pPr>
        <w:pStyle w:val="Rubrik1"/>
        <w:numPr>
          <w:ilvl w:val="0"/>
          <w:numId w:val="2"/>
        </w:numPr>
        <w:tabs>
          <w:tab w:val="left" w:pos="1780"/>
        </w:tabs>
        <w:spacing w:before="0"/>
        <w:jc w:val="both"/>
        <w:rPr>
          <w:rFonts w:ascii="Cambria" w:hAnsi="Cambria"/>
          <w:sz w:val="24"/>
          <w:szCs w:val="24"/>
        </w:rPr>
      </w:pPr>
      <w:bookmarkStart w:id="19" w:name="_Toc164353529"/>
      <w:r>
        <w:rPr>
          <w:rFonts w:ascii="Cambria" w:hAnsi="Cambria"/>
          <w:sz w:val="24"/>
          <w:szCs w:val="24"/>
        </w:rPr>
        <w:lastRenderedPageBreak/>
        <w:t>Rekommendationer och s</w:t>
      </w:r>
      <w:r w:rsidR="00246A77">
        <w:rPr>
          <w:rFonts w:ascii="Cambria" w:hAnsi="Cambria"/>
          <w:sz w:val="24"/>
          <w:szCs w:val="24"/>
        </w:rPr>
        <w:t>lutsatser</w:t>
      </w:r>
      <w:bookmarkEnd w:id="19"/>
    </w:p>
    <w:p w14:paraId="3D882321" w14:textId="77777777" w:rsidR="000C0D09" w:rsidRDefault="000C0D09" w:rsidP="001E7A7A">
      <w:pPr>
        <w:jc w:val="both"/>
        <w:rPr>
          <w:rFonts w:ascii="Cambria" w:hAnsi="Cambria"/>
          <w:lang w:val="sv-SE"/>
        </w:rPr>
      </w:pPr>
    </w:p>
    <w:p w14:paraId="52364F4A" w14:textId="2226F652" w:rsidR="00047F52" w:rsidRDefault="00047F52" w:rsidP="005A728D">
      <w:pPr>
        <w:spacing w:after="160" w:line="259" w:lineRule="auto"/>
        <w:jc w:val="both"/>
        <w:rPr>
          <w:rFonts w:ascii="Cambria" w:eastAsia="Aptos" w:hAnsi="Cambria"/>
          <w:kern w:val="2"/>
          <w:lang w:val="sv-SE" w:eastAsia="en-US"/>
          <w14:ligatures w14:val="standardContextual"/>
        </w:rPr>
      </w:pPr>
      <w:r>
        <w:rPr>
          <w:rFonts w:ascii="Cambria" w:eastAsia="Aptos" w:hAnsi="Cambria"/>
          <w:kern w:val="2"/>
          <w:lang w:val="sv-SE" w:eastAsia="en-US"/>
          <w14:ligatures w14:val="standardContextual"/>
        </w:rPr>
        <w:t xml:space="preserve">Den rödgröna koalitionen i Region Stockholm håller </w:t>
      </w:r>
      <w:r w:rsidR="003B7CDB">
        <w:rPr>
          <w:rFonts w:ascii="Cambria" w:eastAsia="Aptos" w:hAnsi="Cambria"/>
          <w:kern w:val="2"/>
          <w:lang w:val="sv-SE" w:eastAsia="en-US"/>
          <w14:ligatures w14:val="standardContextual"/>
        </w:rPr>
        <w:t xml:space="preserve">just nu </w:t>
      </w:r>
      <w:r>
        <w:rPr>
          <w:rFonts w:ascii="Cambria" w:eastAsia="Aptos" w:hAnsi="Cambria"/>
          <w:kern w:val="2"/>
          <w:lang w:val="sv-SE" w:eastAsia="en-US"/>
          <w14:ligatures w14:val="standardContextual"/>
        </w:rPr>
        <w:t xml:space="preserve">på att genomföra stora förändringar av den specialiserade sjukvården. Vårdval och privata utförare dras tillbaka till förmån för upphandlingar och vård i egen offentlig regi. I den här rapporten har vi visat att underlagen till dessa beslut lämnar mycket övrigt att önska. </w:t>
      </w:r>
      <w:r w:rsidR="009830CB">
        <w:rPr>
          <w:rFonts w:ascii="Cambria" w:eastAsia="Aptos" w:hAnsi="Cambria"/>
          <w:kern w:val="2"/>
          <w:lang w:val="sv-SE" w:eastAsia="en-US"/>
          <w14:ligatures w14:val="standardContextual"/>
        </w:rPr>
        <w:t xml:space="preserve">De flesta förändringar har inte utretts ordentligt och de utredningar som regionen genomfört håller inte tillräcklig kvalitet. </w:t>
      </w:r>
      <w:r w:rsidR="00DA2E92">
        <w:rPr>
          <w:rFonts w:ascii="Cambria" w:eastAsia="Aptos" w:hAnsi="Cambria"/>
          <w:kern w:val="2"/>
          <w:lang w:val="sv-SE" w:eastAsia="en-US"/>
          <w14:ligatures w14:val="standardContextual"/>
        </w:rPr>
        <w:t xml:space="preserve">Analyserna är ytliga och ignorerar förekomsten av målkonflikter. </w:t>
      </w:r>
      <w:r w:rsidR="009830CB">
        <w:rPr>
          <w:rFonts w:ascii="Cambria" w:eastAsia="Aptos" w:hAnsi="Cambria"/>
          <w:kern w:val="2"/>
          <w:lang w:val="sv-SE" w:eastAsia="en-US"/>
          <w14:ligatures w14:val="standardContextual"/>
        </w:rPr>
        <w:t xml:space="preserve">Dessutom talar forskning och andra utredningar om något för att flera av förändringarna riskerar att ge negativa konsekvenser. </w:t>
      </w:r>
      <w:r w:rsidR="00DA2E92">
        <w:rPr>
          <w:rFonts w:ascii="Cambria" w:eastAsia="Aptos" w:hAnsi="Cambria"/>
          <w:kern w:val="2"/>
          <w:lang w:val="sv-SE" w:eastAsia="en-US"/>
          <w14:ligatures w14:val="standardContextual"/>
        </w:rPr>
        <w:t>Exempelvis</w:t>
      </w:r>
      <w:r w:rsidR="00736677">
        <w:rPr>
          <w:rFonts w:ascii="Cambria" w:eastAsia="Aptos" w:hAnsi="Cambria"/>
          <w:kern w:val="2"/>
          <w:lang w:val="sv-SE" w:eastAsia="en-US"/>
          <w14:ligatures w14:val="standardContextual"/>
        </w:rPr>
        <w:t xml:space="preserve"> verkar flera av d</w:t>
      </w:r>
      <w:r w:rsidR="00736677" w:rsidRPr="00736677">
        <w:rPr>
          <w:rFonts w:ascii="Cambria" w:eastAsia="Aptos" w:hAnsi="Cambria"/>
          <w:kern w:val="2"/>
          <w:lang w:val="sv-SE" w:eastAsia="en-US"/>
          <w14:ligatures w14:val="standardContextual"/>
        </w:rPr>
        <w:t>e vårdval som har utretts ordentligt fungera väl.</w:t>
      </w:r>
    </w:p>
    <w:p w14:paraId="7FDDDAE8" w14:textId="05B70882" w:rsidR="00736677" w:rsidRDefault="00736677" w:rsidP="005A728D">
      <w:pPr>
        <w:spacing w:after="160" w:line="259" w:lineRule="auto"/>
        <w:jc w:val="both"/>
        <w:rPr>
          <w:rFonts w:ascii="Cambria" w:eastAsia="Aptos" w:hAnsi="Cambria"/>
          <w:kern w:val="2"/>
          <w:lang w:val="sv-SE" w:eastAsia="en-US"/>
          <w14:ligatures w14:val="standardContextual"/>
        </w:rPr>
      </w:pPr>
      <w:r>
        <w:rPr>
          <w:rFonts w:ascii="Cambria" w:eastAsia="Aptos" w:hAnsi="Cambria"/>
          <w:kern w:val="2"/>
          <w:lang w:val="sv-SE" w:eastAsia="en-US"/>
          <w14:ligatures w14:val="standardContextual"/>
        </w:rPr>
        <w:t>Med tanke på det osäkra kunskapsläget framstår det som onödigt riskfyllt att på kort tid genomföra stora förändringar av en så komplex verksamhet som specialist</w:t>
      </w:r>
      <w:r w:rsidR="00AC20C2">
        <w:rPr>
          <w:rFonts w:ascii="Cambria" w:eastAsia="Aptos" w:hAnsi="Cambria"/>
          <w:kern w:val="2"/>
          <w:lang w:val="sv-SE" w:eastAsia="en-US"/>
          <w14:ligatures w14:val="standardContextual"/>
        </w:rPr>
        <w:t>sjuk</w:t>
      </w:r>
      <w:r>
        <w:rPr>
          <w:rFonts w:ascii="Cambria" w:eastAsia="Aptos" w:hAnsi="Cambria"/>
          <w:kern w:val="2"/>
          <w:lang w:val="sv-SE" w:eastAsia="en-US"/>
          <w14:ligatures w14:val="standardContextual"/>
        </w:rPr>
        <w:t xml:space="preserve">vården. Det vore </w:t>
      </w:r>
      <w:r w:rsidR="00DA2E92">
        <w:rPr>
          <w:rFonts w:ascii="Cambria" w:eastAsia="Aptos" w:hAnsi="Cambria"/>
          <w:kern w:val="2"/>
          <w:lang w:val="sv-SE" w:eastAsia="en-US"/>
          <w14:ligatures w14:val="standardContextual"/>
        </w:rPr>
        <w:t xml:space="preserve">rimligare att stanna upp och utreda förändringarna ordentligt. </w:t>
      </w:r>
      <w:r w:rsidR="00A405DC">
        <w:rPr>
          <w:rFonts w:ascii="Cambria" w:eastAsia="Aptos" w:hAnsi="Cambria"/>
          <w:kern w:val="2"/>
          <w:lang w:val="sv-SE" w:eastAsia="en-US"/>
          <w14:ligatures w14:val="standardContextual"/>
        </w:rPr>
        <w:t>Sådana utredningar bör behandla flera frågor, bland annat följande (och i förekommande fall för varje specialistområde):</w:t>
      </w:r>
    </w:p>
    <w:p w14:paraId="46D4EFE7" w14:textId="67E2EEBA" w:rsidR="00A405DC" w:rsidRDefault="00A405DC" w:rsidP="00B4541A">
      <w:pPr>
        <w:pStyle w:val="Liststycke"/>
        <w:numPr>
          <w:ilvl w:val="0"/>
          <w:numId w:val="38"/>
        </w:numPr>
        <w:spacing w:after="160" w:line="259" w:lineRule="auto"/>
        <w:jc w:val="both"/>
        <w:rPr>
          <w:rFonts w:ascii="Cambria" w:eastAsia="Aptos" w:hAnsi="Cambria"/>
          <w:kern w:val="2"/>
          <w14:ligatures w14:val="standardContextual"/>
        </w:rPr>
      </w:pPr>
      <w:r>
        <w:rPr>
          <w:rFonts w:ascii="Cambria" w:eastAsia="Aptos" w:hAnsi="Cambria"/>
          <w:kern w:val="2"/>
          <w14:ligatures w14:val="standardContextual"/>
        </w:rPr>
        <w:t xml:space="preserve">Hur skiljer sig kvalitet och kostnader mellan offentlig och privat </w:t>
      </w:r>
      <w:r w:rsidR="00A9611C">
        <w:rPr>
          <w:rFonts w:ascii="Cambria" w:eastAsia="Aptos" w:hAnsi="Cambria"/>
          <w:kern w:val="2"/>
          <w14:ligatures w14:val="standardContextual"/>
        </w:rPr>
        <w:t>sjuk</w:t>
      </w:r>
      <w:r>
        <w:rPr>
          <w:rFonts w:ascii="Cambria" w:eastAsia="Aptos" w:hAnsi="Cambria"/>
          <w:kern w:val="2"/>
          <w14:ligatures w14:val="standardContextual"/>
        </w:rPr>
        <w:t>vård?</w:t>
      </w:r>
    </w:p>
    <w:p w14:paraId="4671341E" w14:textId="11FC6BE1" w:rsidR="00A405DC" w:rsidRDefault="00A405DC" w:rsidP="00B4541A">
      <w:pPr>
        <w:pStyle w:val="Liststycke"/>
        <w:numPr>
          <w:ilvl w:val="0"/>
          <w:numId w:val="38"/>
        </w:numPr>
        <w:spacing w:after="160" w:line="259" w:lineRule="auto"/>
        <w:jc w:val="both"/>
        <w:rPr>
          <w:rFonts w:ascii="Cambria" w:eastAsia="Aptos" w:hAnsi="Cambria"/>
          <w:kern w:val="2"/>
          <w14:ligatures w14:val="standardContextual"/>
        </w:rPr>
      </w:pPr>
      <w:r>
        <w:rPr>
          <w:rFonts w:ascii="Cambria" w:eastAsia="Aptos" w:hAnsi="Cambria"/>
          <w:kern w:val="2"/>
          <w14:ligatures w14:val="standardContextual"/>
        </w:rPr>
        <w:t xml:space="preserve">Hur ser förutsättningarna ut för att ge kostnadseffektiv </w:t>
      </w:r>
      <w:r w:rsidR="00A9611C">
        <w:rPr>
          <w:rFonts w:ascii="Cambria" w:eastAsia="Aptos" w:hAnsi="Cambria"/>
          <w:kern w:val="2"/>
          <w14:ligatures w14:val="standardContextual"/>
        </w:rPr>
        <w:t>sjuk</w:t>
      </w:r>
      <w:r>
        <w:rPr>
          <w:rFonts w:ascii="Cambria" w:eastAsia="Aptos" w:hAnsi="Cambria"/>
          <w:kern w:val="2"/>
          <w14:ligatures w14:val="standardContextual"/>
        </w:rPr>
        <w:t xml:space="preserve">vård av hög kvalitet på olika typer av vårdinrättningar, som akutsjukhus, </w:t>
      </w:r>
      <w:proofErr w:type="spellStart"/>
      <w:r>
        <w:rPr>
          <w:rFonts w:ascii="Cambria" w:eastAsia="Aptos" w:hAnsi="Cambria"/>
          <w:kern w:val="2"/>
          <w14:ligatures w14:val="standardContextual"/>
        </w:rPr>
        <w:t>närakuter</w:t>
      </w:r>
      <w:proofErr w:type="spellEnd"/>
      <w:r>
        <w:rPr>
          <w:rFonts w:ascii="Cambria" w:eastAsia="Aptos" w:hAnsi="Cambria"/>
          <w:kern w:val="2"/>
          <w14:ligatures w14:val="standardContextual"/>
        </w:rPr>
        <w:t>, specialistkliniker och vårdcentraler</w:t>
      </w:r>
      <w:r w:rsidR="00F17D98">
        <w:rPr>
          <w:rFonts w:ascii="Cambria" w:eastAsia="Aptos" w:hAnsi="Cambria"/>
          <w:kern w:val="2"/>
          <w14:ligatures w14:val="standardContextual"/>
        </w:rPr>
        <w:t>?</w:t>
      </w:r>
    </w:p>
    <w:p w14:paraId="00608339" w14:textId="602A12AB" w:rsidR="00A54F35" w:rsidRDefault="00A54F35" w:rsidP="00B4541A">
      <w:pPr>
        <w:pStyle w:val="Liststycke"/>
        <w:numPr>
          <w:ilvl w:val="0"/>
          <w:numId w:val="38"/>
        </w:numPr>
        <w:spacing w:after="160" w:line="259" w:lineRule="auto"/>
        <w:jc w:val="both"/>
        <w:rPr>
          <w:rFonts w:ascii="Cambria" w:eastAsia="Aptos" w:hAnsi="Cambria"/>
          <w:kern w:val="2"/>
          <w14:ligatures w14:val="standardContextual"/>
        </w:rPr>
      </w:pPr>
      <w:r>
        <w:rPr>
          <w:rFonts w:ascii="Cambria" w:eastAsia="Aptos" w:hAnsi="Cambria"/>
          <w:kern w:val="2"/>
          <w14:ligatures w14:val="standardContextual"/>
        </w:rPr>
        <w:t>Vilka målkonflikter behöver hanteras och hur görs det bäst?</w:t>
      </w:r>
    </w:p>
    <w:p w14:paraId="220A53FA" w14:textId="7F3E127D" w:rsidR="00B4541A" w:rsidRDefault="00B4541A" w:rsidP="00B4541A">
      <w:pPr>
        <w:pStyle w:val="Liststycke"/>
        <w:numPr>
          <w:ilvl w:val="0"/>
          <w:numId w:val="38"/>
        </w:numPr>
        <w:spacing w:after="160" w:line="259" w:lineRule="auto"/>
        <w:jc w:val="both"/>
        <w:rPr>
          <w:rFonts w:ascii="Cambria" w:eastAsia="Aptos" w:hAnsi="Cambria"/>
          <w:kern w:val="2"/>
          <w14:ligatures w14:val="standardContextual"/>
        </w:rPr>
      </w:pPr>
      <w:r>
        <w:rPr>
          <w:rFonts w:ascii="Cambria" w:eastAsia="Aptos" w:hAnsi="Cambria"/>
          <w:kern w:val="2"/>
          <w14:ligatures w14:val="standardContextual"/>
        </w:rPr>
        <w:t>I vil</w:t>
      </w:r>
      <w:r w:rsidR="00F17D98">
        <w:rPr>
          <w:rFonts w:ascii="Cambria" w:eastAsia="Aptos" w:hAnsi="Cambria"/>
          <w:kern w:val="2"/>
          <w14:ligatures w14:val="standardContextual"/>
        </w:rPr>
        <w:t>k</w:t>
      </w:r>
      <w:r>
        <w:rPr>
          <w:rFonts w:ascii="Cambria" w:eastAsia="Aptos" w:hAnsi="Cambria"/>
          <w:kern w:val="2"/>
          <w14:ligatures w14:val="standardContextual"/>
        </w:rPr>
        <w:t>en utsträckning förekommer överkonsumtion och un</w:t>
      </w:r>
      <w:r w:rsidR="00F17D98">
        <w:rPr>
          <w:rFonts w:ascii="Cambria" w:eastAsia="Aptos" w:hAnsi="Cambria"/>
          <w:kern w:val="2"/>
          <w14:ligatures w14:val="standardContextual"/>
        </w:rPr>
        <w:t>d</w:t>
      </w:r>
      <w:r>
        <w:rPr>
          <w:rFonts w:ascii="Cambria" w:eastAsia="Aptos" w:hAnsi="Cambria"/>
          <w:kern w:val="2"/>
          <w14:ligatures w14:val="standardContextual"/>
        </w:rPr>
        <w:t xml:space="preserve">erkonsumtion av </w:t>
      </w:r>
      <w:r w:rsidR="00A9611C">
        <w:rPr>
          <w:rFonts w:ascii="Cambria" w:eastAsia="Aptos" w:hAnsi="Cambria"/>
          <w:kern w:val="2"/>
          <w14:ligatures w14:val="standardContextual"/>
        </w:rPr>
        <w:t>sjuk</w:t>
      </w:r>
      <w:r>
        <w:rPr>
          <w:rFonts w:ascii="Cambria" w:eastAsia="Aptos" w:hAnsi="Cambria"/>
          <w:kern w:val="2"/>
          <w14:ligatures w14:val="standardContextual"/>
        </w:rPr>
        <w:t>vård, när bland annat vårdbehov, medicinska bedömningar, tillgänglighet och vårdgarantin noggrant beaktas</w:t>
      </w:r>
      <w:r w:rsidR="00A54F35">
        <w:rPr>
          <w:rFonts w:ascii="Cambria" w:eastAsia="Aptos" w:hAnsi="Cambria"/>
          <w:kern w:val="2"/>
          <w14:ligatures w14:val="standardContextual"/>
        </w:rPr>
        <w:t>?</w:t>
      </w:r>
    </w:p>
    <w:p w14:paraId="2F61202C" w14:textId="6B9C15BA" w:rsidR="00F17D98" w:rsidRDefault="00F17D98" w:rsidP="00C75EF0">
      <w:pPr>
        <w:pStyle w:val="Liststycke"/>
        <w:numPr>
          <w:ilvl w:val="0"/>
          <w:numId w:val="38"/>
        </w:numPr>
        <w:spacing w:after="160" w:line="259" w:lineRule="auto"/>
        <w:jc w:val="both"/>
        <w:rPr>
          <w:rFonts w:ascii="Cambria" w:eastAsia="Aptos" w:hAnsi="Cambria"/>
          <w:kern w:val="2"/>
          <w14:ligatures w14:val="standardContextual"/>
        </w:rPr>
      </w:pPr>
      <w:r>
        <w:rPr>
          <w:rFonts w:ascii="Cambria" w:eastAsia="Aptos" w:hAnsi="Cambria"/>
          <w:kern w:val="2"/>
          <w14:ligatures w14:val="standardContextual"/>
        </w:rPr>
        <w:t xml:space="preserve">Vad kan åstadkommas genom att justera </w:t>
      </w:r>
      <w:r w:rsidR="00A54F35">
        <w:rPr>
          <w:rFonts w:ascii="Cambria" w:eastAsia="Aptos" w:hAnsi="Cambria"/>
          <w:kern w:val="2"/>
          <w14:ligatures w14:val="standardContextual"/>
        </w:rPr>
        <w:t>regelverket för vårdval och villkoren i upphandlade kontrakt?</w:t>
      </w:r>
    </w:p>
    <w:p w14:paraId="0C0983D2" w14:textId="2AF95504" w:rsidR="00337B1C" w:rsidRDefault="001506C6" w:rsidP="001506C6">
      <w:pPr>
        <w:pStyle w:val="Liststycke"/>
        <w:numPr>
          <w:ilvl w:val="0"/>
          <w:numId w:val="38"/>
        </w:numPr>
        <w:spacing w:after="160" w:line="259" w:lineRule="auto"/>
        <w:jc w:val="both"/>
        <w:rPr>
          <w:rFonts w:ascii="Cambria" w:eastAsia="Aptos" w:hAnsi="Cambria"/>
          <w:kern w:val="2"/>
          <w14:ligatures w14:val="standardContextual"/>
        </w:rPr>
      </w:pPr>
      <w:r>
        <w:rPr>
          <w:rFonts w:ascii="Cambria" w:eastAsia="Aptos" w:hAnsi="Cambria"/>
          <w:kern w:val="2"/>
          <w14:ligatures w14:val="standardContextual"/>
        </w:rPr>
        <w:t xml:space="preserve">Hur </w:t>
      </w:r>
      <w:r w:rsidR="00337B1C">
        <w:rPr>
          <w:rFonts w:ascii="Cambria" w:eastAsia="Aptos" w:hAnsi="Cambria"/>
          <w:kern w:val="2"/>
          <w14:ligatures w14:val="standardContextual"/>
        </w:rPr>
        <w:t xml:space="preserve">har vårdval </w:t>
      </w:r>
      <w:r>
        <w:rPr>
          <w:rFonts w:ascii="Cambria" w:eastAsia="Aptos" w:hAnsi="Cambria"/>
          <w:kern w:val="2"/>
          <w14:ligatures w14:val="standardContextual"/>
        </w:rPr>
        <w:t>påverka</w:t>
      </w:r>
      <w:r w:rsidR="00337B1C">
        <w:rPr>
          <w:rFonts w:ascii="Cambria" w:eastAsia="Aptos" w:hAnsi="Cambria"/>
          <w:kern w:val="2"/>
          <w14:ligatures w14:val="standardContextual"/>
        </w:rPr>
        <w:t>t</w:t>
      </w:r>
      <w:r>
        <w:rPr>
          <w:rFonts w:ascii="Cambria" w:eastAsia="Aptos" w:hAnsi="Cambria"/>
          <w:kern w:val="2"/>
          <w14:ligatures w14:val="standardContextual"/>
        </w:rPr>
        <w:t xml:space="preserve"> </w:t>
      </w:r>
      <w:r w:rsidR="00A9611C">
        <w:rPr>
          <w:rFonts w:ascii="Cambria" w:eastAsia="Aptos" w:hAnsi="Cambria"/>
          <w:kern w:val="2"/>
          <w14:ligatures w14:val="standardContextual"/>
        </w:rPr>
        <w:t>sjuk</w:t>
      </w:r>
      <w:r>
        <w:rPr>
          <w:rFonts w:ascii="Cambria" w:eastAsia="Aptos" w:hAnsi="Cambria"/>
          <w:kern w:val="2"/>
          <w14:ligatures w14:val="standardContextual"/>
        </w:rPr>
        <w:t>vårdens kvalitet, tillgänglighet, styckkostnad och totalkostnad</w:t>
      </w:r>
      <w:r w:rsidR="00337B1C">
        <w:rPr>
          <w:rFonts w:ascii="Cambria" w:eastAsia="Aptos" w:hAnsi="Cambria"/>
          <w:kern w:val="2"/>
          <w14:ligatures w14:val="standardContextual"/>
        </w:rPr>
        <w:t>?</w:t>
      </w:r>
    </w:p>
    <w:p w14:paraId="17C0B0B8" w14:textId="387EA35A" w:rsidR="001506C6" w:rsidRDefault="00581F45" w:rsidP="001506C6">
      <w:pPr>
        <w:pStyle w:val="Liststycke"/>
        <w:numPr>
          <w:ilvl w:val="0"/>
          <w:numId w:val="38"/>
        </w:numPr>
        <w:spacing w:after="160" w:line="259" w:lineRule="auto"/>
        <w:jc w:val="both"/>
        <w:rPr>
          <w:rFonts w:ascii="Cambria" w:eastAsia="Aptos" w:hAnsi="Cambria"/>
          <w:kern w:val="2"/>
          <w14:ligatures w14:val="standardContextual"/>
        </w:rPr>
      </w:pPr>
      <w:r>
        <w:rPr>
          <w:rFonts w:ascii="Cambria" w:eastAsia="Aptos" w:hAnsi="Cambria"/>
          <w:kern w:val="2"/>
          <w14:ligatures w14:val="standardContextual"/>
        </w:rPr>
        <w:t>Vilka konsekvenser</w:t>
      </w:r>
      <w:r w:rsidR="00337B1C">
        <w:rPr>
          <w:rFonts w:ascii="Cambria" w:eastAsia="Aptos" w:hAnsi="Cambria"/>
          <w:kern w:val="2"/>
          <w14:ligatures w14:val="standardContextual"/>
        </w:rPr>
        <w:t xml:space="preserve"> skulle ett avskaffat vårdval få</w:t>
      </w:r>
      <w:r w:rsidR="001506C6">
        <w:rPr>
          <w:rFonts w:ascii="Cambria" w:eastAsia="Aptos" w:hAnsi="Cambria"/>
          <w:kern w:val="2"/>
          <w14:ligatures w14:val="standardContextual"/>
        </w:rPr>
        <w:t>?</w:t>
      </w:r>
    </w:p>
    <w:p w14:paraId="0B5487D2" w14:textId="77777777" w:rsidR="001506C6" w:rsidRPr="00A54F35" w:rsidRDefault="001506C6" w:rsidP="001506C6">
      <w:pPr>
        <w:pStyle w:val="Liststycke"/>
        <w:spacing w:after="160" w:line="259" w:lineRule="auto"/>
        <w:jc w:val="both"/>
        <w:rPr>
          <w:rFonts w:ascii="Cambria" w:eastAsia="Aptos" w:hAnsi="Cambria"/>
          <w:kern w:val="2"/>
          <w14:ligatures w14:val="standardContextual"/>
        </w:rPr>
      </w:pPr>
    </w:p>
    <w:p w14:paraId="499A06F8" w14:textId="3A3F47C8" w:rsidR="00A405DC" w:rsidRDefault="00A54F35" w:rsidP="005A728D">
      <w:pPr>
        <w:spacing w:after="160" w:line="259" w:lineRule="auto"/>
        <w:jc w:val="both"/>
        <w:rPr>
          <w:rFonts w:ascii="Cambria" w:eastAsia="Aptos" w:hAnsi="Cambria"/>
          <w:kern w:val="2"/>
          <w:lang w:val="sv-SE" w:eastAsia="en-US"/>
          <w14:ligatures w14:val="standardContextual"/>
        </w:rPr>
      </w:pPr>
      <w:r>
        <w:rPr>
          <w:rFonts w:ascii="Cambria" w:eastAsia="Aptos" w:hAnsi="Cambria"/>
          <w:kern w:val="2"/>
          <w:lang w:val="sv-SE" w:eastAsia="en-US"/>
          <w14:ligatures w14:val="standardContextual"/>
        </w:rPr>
        <w:t xml:space="preserve">Alla vårdval fungerar inte nödvändigtvis väl, men </w:t>
      </w:r>
      <w:r w:rsidR="00A3596E">
        <w:rPr>
          <w:rFonts w:ascii="Cambria" w:eastAsia="Aptos" w:hAnsi="Cambria"/>
          <w:kern w:val="2"/>
          <w:lang w:val="sv-SE" w:eastAsia="en-US"/>
          <w14:ligatures w14:val="standardContextual"/>
        </w:rPr>
        <w:t xml:space="preserve">de problem som finns behöver beläggas i ordentliga utredningar. Sedan behöver olika tänkbara lösningar jämföras med varandra. För att </w:t>
      </w:r>
      <w:r w:rsidR="00324171">
        <w:rPr>
          <w:rFonts w:ascii="Cambria" w:eastAsia="Aptos" w:hAnsi="Cambria"/>
          <w:kern w:val="2"/>
          <w:lang w:val="sv-SE" w:eastAsia="en-US"/>
          <w14:ligatures w14:val="standardContextual"/>
        </w:rPr>
        <w:t xml:space="preserve">kunna </w:t>
      </w:r>
      <w:r w:rsidR="00A3596E">
        <w:rPr>
          <w:rFonts w:ascii="Cambria" w:eastAsia="Aptos" w:hAnsi="Cambria"/>
          <w:kern w:val="2"/>
          <w:lang w:val="sv-SE" w:eastAsia="en-US"/>
          <w14:ligatures w14:val="standardContextual"/>
        </w:rPr>
        <w:t xml:space="preserve">höja vårdens effektivitet behöver </w:t>
      </w:r>
      <w:r w:rsidR="00324171">
        <w:rPr>
          <w:rFonts w:ascii="Cambria" w:eastAsia="Aptos" w:hAnsi="Cambria"/>
          <w:kern w:val="2"/>
          <w:lang w:val="sv-SE" w:eastAsia="en-US"/>
          <w14:ligatures w14:val="standardContextual"/>
        </w:rPr>
        <w:t xml:space="preserve">styckkostnader beräknas och </w:t>
      </w:r>
      <w:r w:rsidR="00A3596E">
        <w:rPr>
          <w:rFonts w:ascii="Cambria" w:eastAsia="Aptos" w:hAnsi="Cambria"/>
          <w:kern w:val="2"/>
          <w:lang w:val="sv-SE" w:eastAsia="en-US"/>
          <w14:ligatures w14:val="standardContextual"/>
        </w:rPr>
        <w:t xml:space="preserve">beaktas. </w:t>
      </w:r>
      <w:r w:rsidR="00061187">
        <w:rPr>
          <w:rFonts w:ascii="Cambria" w:eastAsia="Aptos" w:hAnsi="Cambria"/>
          <w:kern w:val="2"/>
          <w:lang w:val="sv-SE" w:eastAsia="en-US"/>
          <w14:ligatures w14:val="standardContextual"/>
        </w:rPr>
        <w:t>Nuvarande</w:t>
      </w:r>
      <w:r w:rsidR="00A3596E">
        <w:rPr>
          <w:rFonts w:ascii="Cambria" w:eastAsia="Aptos" w:hAnsi="Cambria"/>
          <w:kern w:val="2"/>
          <w:lang w:val="sv-SE" w:eastAsia="en-US"/>
          <w14:ligatures w14:val="standardContextual"/>
        </w:rPr>
        <w:t xml:space="preserve"> fokus på totalkostnader </w:t>
      </w:r>
      <w:r w:rsidR="00324171">
        <w:rPr>
          <w:rFonts w:ascii="Cambria" w:eastAsia="Aptos" w:hAnsi="Cambria"/>
          <w:kern w:val="2"/>
          <w:lang w:val="sv-SE" w:eastAsia="en-US"/>
          <w14:ligatures w14:val="standardContextual"/>
        </w:rPr>
        <w:t xml:space="preserve">är ett trubbigt angreppssätt som </w:t>
      </w:r>
      <w:r w:rsidR="00A3596E">
        <w:rPr>
          <w:rFonts w:ascii="Cambria" w:eastAsia="Aptos" w:hAnsi="Cambria"/>
          <w:kern w:val="2"/>
          <w:lang w:val="sv-SE" w:eastAsia="en-US"/>
          <w14:ligatures w14:val="standardContextual"/>
        </w:rPr>
        <w:t xml:space="preserve">riskerar att fördyra vården genom uteblivna effektiviseringar. </w:t>
      </w:r>
    </w:p>
    <w:p w14:paraId="5DF61E40" w14:textId="0EE7F1E2" w:rsidR="00161F6E" w:rsidRDefault="000A4833" w:rsidP="004F67F6">
      <w:pPr>
        <w:jc w:val="both"/>
        <w:rPr>
          <w:rFonts w:ascii="Cambria" w:hAnsi="Cambria"/>
          <w:lang w:val="sv-SE"/>
        </w:rPr>
      </w:pPr>
      <w:r>
        <w:rPr>
          <w:rFonts w:ascii="Cambria" w:eastAsia="Aptos" w:hAnsi="Cambria"/>
          <w:kern w:val="2"/>
          <w:lang w:val="sv-SE" w:eastAsia="en-US"/>
          <w14:ligatures w14:val="standardContextual"/>
        </w:rPr>
        <w:t xml:space="preserve">Att </w:t>
      </w:r>
      <w:r w:rsidR="00337B1C">
        <w:rPr>
          <w:rFonts w:ascii="Cambria" w:eastAsia="Aptos" w:hAnsi="Cambria"/>
          <w:kern w:val="2"/>
          <w:lang w:val="sv-SE" w:eastAsia="en-US"/>
          <w14:ligatures w14:val="standardContextual"/>
        </w:rPr>
        <w:t>stanna upp och</w:t>
      </w:r>
      <w:r>
        <w:rPr>
          <w:rFonts w:ascii="Cambria" w:eastAsia="Aptos" w:hAnsi="Cambria"/>
          <w:kern w:val="2"/>
          <w:lang w:val="sv-SE" w:eastAsia="en-US"/>
          <w14:ligatures w14:val="standardContextual"/>
        </w:rPr>
        <w:t xml:space="preserve"> genomföra ordentliga utredningar skulle förbättra besluten</w:t>
      </w:r>
      <w:r w:rsidR="00AC20C2">
        <w:rPr>
          <w:rFonts w:ascii="Cambria" w:eastAsia="Aptos" w:hAnsi="Cambria"/>
          <w:kern w:val="2"/>
          <w:lang w:val="sv-SE" w:eastAsia="en-US"/>
          <w14:ligatures w14:val="standardContextual"/>
        </w:rPr>
        <w:t xml:space="preserve">, men </w:t>
      </w:r>
      <w:r w:rsidR="00D34187">
        <w:rPr>
          <w:rFonts w:ascii="Cambria" w:eastAsia="Aptos" w:hAnsi="Cambria"/>
          <w:kern w:val="2"/>
          <w:lang w:val="sv-SE" w:eastAsia="en-US"/>
          <w14:ligatures w14:val="standardContextual"/>
        </w:rPr>
        <w:t>även fylla</w:t>
      </w:r>
      <w:r>
        <w:rPr>
          <w:rFonts w:ascii="Cambria" w:eastAsia="Aptos" w:hAnsi="Cambria"/>
          <w:kern w:val="2"/>
          <w:lang w:val="sv-SE" w:eastAsia="en-US"/>
          <w14:ligatures w14:val="standardContextual"/>
        </w:rPr>
        <w:t xml:space="preserve"> en demokratisk funktion genom </w:t>
      </w:r>
      <w:r w:rsidR="00AC20C2">
        <w:rPr>
          <w:rFonts w:ascii="Cambria" w:eastAsia="Aptos" w:hAnsi="Cambria"/>
          <w:kern w:val="2"/>
          <w:lang w:val="sv-SE" w:eastAsia="en-US"/>
          <w14:ligatures w14:val="standardContextual"/>
        </w:rPr>
        <w:t xml:space="preserve">en mer transparent </w:t>
      </w:r>
      <w:r>
        <w:rPr>
          <w:rFonts w:ascii="Cambria" w:eastAsia="Aptos" w:hAnsi="Cambria"/>
          <w:kern w:val="2"/>
          <w:lang w:val="sv-SE" w:eastAsia="en-US"/>
          <w14:ligatures w14:val="standardContextual"/>
        </w:rPr>
        <w:t xml:space="preserve">beslutsprocess och </w:t>
      </w:r>
      <w:r w:rsidR="00AC20C2">
        <w:rPr>
          <w:rFonts w:ascii="Cambria" w:eastAsia="Aptos" w:hAnsi="Cambria"/>
          <w:kern w:val="2"/>
          <w:lang w:val="sv-SE" w:eastAsia="en-US"/>
          <w14:ligatures w14:val="standardContextual"/>
        </w:rPr>
        <w:t xml:space="preserve">en mer faktabaserad </w:t>
      </w:r>
      <w:r>
        <w:rPr>
          <w:rFonts w:ascii="Cambria" w:eastAsia="Aptos" w:hAnsi="Cambria"/>
          <w:kern w:val="2"/>
          <w:lang w:val="sv-SE" w:eastAsia="en-US"/>
          <w14:ligatures w14:val="standardContextual"/>
        </w:rPr>
        <w:t>politisk debatt.</w:t>
      </w:r>
    </w:p>
    <w:p w14:paraId="39130A80" w14:textId="4E14DF2D" w:rsidR="008E101F" w:rsidRPr="00E507E9" w:rsidRDefault="009C05B4" w:rsidP="00F30230">
      <w:pPr>
        <w:jc w:val="both"/>
        <w:rPr>
          <w:rFonts w:ascii="Cambria" w:eastAsiaTheme="majorEastAsia" w:hAnsi="Cambria" w:cstheme="majorBidi"/>
          <w:b/>
          <w:bCs/>
          <w:color w:val="345A8A" w:themeColor="accent1" w:themeShade="B5"/>
          <w:lang w:val="sv-SE"/>
        </w:rPr>
      </w:pPr>
      <w:r w:rsidRPr="005A394A">
        <w:rPr>
          <w:rFonts w:ascii="Cambria" w:hAnsi="Cambria"/>
          <w:lang w:val="sv-SE"/>
        </w:rPr>
        <w:br w:type="page"/>
      </w:r>
    </w:p>
    <w:bookmarkStart w:id="20" w:name="_Toc164353530" w:displacedByCustomXml="next"/>
    <w:sdt>
      <w:sdtPr>
        <w:rPr>
          <w:rFonts w:ascii="Cambria" w:eastAsiaTheme="minorEastAsia" w:hAnsi="Cambria" w:cstheme="minorBidi"/>
          <w:b w:val="0"/>
          <w:bCs w:val="0"/>
          <w:color w:val="auto"/>
          <w:sz w:val="24"/>
          <w:szCs w:val="24"/>
          <w:lang w:eastAsia="en-GB"/>
        </w:rPr>
        <w:id w:val="271911947"/>
        <w:docPartObj>
          <w:docPartGallery w:val="Bibliographies"/>
          <w:docPartUnique/>
        </w:docPartObj>
      </w:sdtPr>
      <w:sdtEndPr>
        <w:rPr>
          <w:lang w:eastAsia="en-US"/>
        </w:rPr>
      </w:sdtEndPr>
      <w:sdtContent>
        <w:p w14:paraId="1520600A" w14:textId="137EAB5A" w:rsidR="00706194" w:rsidRPr="009E4A8A" w:rsidRDefault="00706194" w:rsidP="00BA0A00">
          <w:pPr>
            <w:pStyle w:val="Rubrik1"/>
            <w:tabs>
              <w:tab w:val="left" w:pos="1780"/>
            </w:tabs>
            <w:spacing w:before="0"/>
            <w:jc w:val="both"/>
            <w:rPr>
              <w:rFonts w:ascii="Cambria" w:eastAsiaTheme="minorEastAsia" w:hAnsi="Cambria" w:cstheme="minorBidi"/>
              <w:b w:val="0"/>
              <w:bCs w:val="0"/>
              <w:color w:val="auto"/>
              <w:sz w:val="24"/>
              <w:szCs w:val="24"/>
            </w:rPr>
          </w:pPr>
          <w:r w:rsidRPr="009E4A8A">
            <w:rPr>
              <w:rFonts w:ascii="Cambria" w:hAnsi="Cambria"/>
              <w:sz w:val="24"/>
              <w:szCs w:val="24"/>
            </w:rPr>
            <w:t>Referenser</w:t>
          </w:r>
          <w:bookmarkEnd w:id="20"/>
        </w:p>
        <w:sdt>
          <w:sdtPr>
            <w:rPr>
              <w:rFonts w:ascii="Cambria" w:hAnsi="Cambria" w:cs="Times New Roman"/>
              <w:lang w:eastAsia="en-GB"/>
            </w:rPr>
            <w:id w:val="111145805"/>
            <w:bibliography/>
          </w:sdtPr>
          <w:sdtEndPr>
            <w:rPr>
              <w:rFonts w:cstheme="minorBidi"/>
              <w:lang w:eastAsia="en-US"/>
            </w:rPr>
          </w:sdtEndPr>
          <w:sdtContent>
            <w:p w14:paraId="480AB83D" w14:textId="0E07487A" w:rsidR="00934D75" w:rsidRPr="009E4A8A" w:rsidRDefault="00934D75" w:rsidP="00934D75">
              <w:pPr>
                <w:pStyle w:val="Litteraturfrteckning"/>
                <w:spacing w:after="40"/>
                <w:rPr>
                  <w:rFonts w:ascii="Cambria" w:hAnsi="Cambria" w:cs="Times New Roman"/>
                  <w:lang w:eastAsia="en-GB"/>
                </w:rPr>
              </w:pPr>
            </w:p>
            <w:p w14:paraId="2057F747" w14:textId="5DC8264B" w:rsidR="00280BFB" w:rsidRDefault="00280BFB" w:rsidP="00280BFB">
              <w:pPr>
                <w:ind w:left="284" w:hanging="284"/>
                <w:jc w:val="both"/>
                <w:rPr>
                  <w:rFonts w:asciiTheme="minorHAnsi" w:hAnsiTheme="minorHAnsi"/>
                  <w:lang w:val="sv-SE"/>
                </w:rPr>
              </w:pPr>
              <w:r w:rsidRPr="00280BFB">
                <w:rPr>
                  <w:rFonts w:asciiTheme="minorHAnsi" w:hAnsiTheme="minorHAnsi"/>
                  <w:lang w:val="sv-SE"/>
                </w:rPr>
                <w:t>Arnell-</w:t>
              </w:r>
              <w:proofErr w:type="spellStart"/>
              <w:r w:rsidRPr="00280BFB">
                <w:rPr>
                  <w:rFonts w:asciiTheme="minorHAnsi" w:hAnsiTheme="minorHAnsi"/>
                  <w:lang w:val="sv-SE"/>
                </w:rPr>
                <w:t>Szurkos</w:t>
              </w:r>
              <w:proofErr w:type="spellEnd"/>
              <w:r>
                <w:rPr>
                  <w:rFonts w:asciiTheme="minorHAnsi" w:hAnsiTheme="minorHAnsi"/>
                  <w:lang w:val="sv-SE"/>
                </w:rPr>
                <w:t xml:space="preserve">, </w:t>
              </w:r>
              <w:proofErr w:type="spellStart"/>
              <w:r>
                <w:rPr>
                  <w:rFonts w:asciiTheme="minorHAnsi" w:hAnsiTheme="minorHAnsi"/>
                  <w:lang w:val="sv-SE"/>
                </w:rPr>
                <w:t>Enikö</w:t>
              </w:r>
              <w:proofErr w:type="spellEnd"/>
              <w:r w:rsidRPr="009E4A8A">
                <w:rPr>
                  <w:rFonts w:asciiTheme="minorHAnsi" w:hAnsiTheme="minorHAnsi"/>
                  <w:lang w:val="sv-SE"/>
                </w:rPr>
                <w:t xml:space="preserve">. </w:t>
              </w:r>
              <w:r>
                <w:rPr>
                  <w:rFonts w:asciiTheme="minorHAnsi" w:hAnsiTheme="minorHAnsi"/>
                  <w:lang w:val="sv-SE"/>
                </w:rPr>
                <w:t>2023</w:t>
              </w:r>
              <w:r w:rsidRPr="009E4A8A">
                <w:rPr>
                  <w:rFonts w:asciiTheme="minorHAnsi" w:hAnsiTheme="minorHAnsi"/>
                  <w:lang w:val="sv-SE"/>
                </w:rPr>
                <w:t>. “</w:t>
              </w:r>
              <w:r w:rsidRPr="00280BFB">
                <w:rPr>
                  <w:rFonts w:asciiTheme="minorHAnsi" w:hAnsiTheme="minorHAnsi"/>
                  <w:lang w:val="sv-SE"/>
                </w:rPr>
                <w:t>Region Stockholm avskaffar vårdval vid utmattningssyndrom</w:t>
              </w:r>
              <w:r w:rsidRPr="009E4A8A">
                <w:rPr>
                  <w:rFonts w:asciiTheme="minorHAnsi" w:hAnsiTheme="minorHAnsi"/>
                  <w:lang w:val="sv-SE"/>
                </w:rPr>
                <w:t xml:space="preserve">”, </w:t>
              </w:r>
              <w:proofErr w:type="gramStart"/>
              <w:r>
                <w:rPr>
                  <w:rFonts w:asciiTheme="minorHAnsi" w:hAnsiTheme="minorHAnsi"/>
                  <w:lang w:val="sv-SE"/>
                </w:rPr>
                <w:t>Läkartidningen</w:t>
              </w:r>
              <w:r w:rsidRPr="009E4A8A">
                <w:rPr>
                  <w:rFonts w:asciiTheme="minorHAnsi" w:hAnsiTheme="minorHAnsi"/>
                  <w:lang w:val="sv-SE"/>
                </w:rPr>
                <w:t xml:space="preserve">,  </w:t>
              </w:r>
              <w:r>
                <w:rPr>
                  <w:rFonts w:asciiTheme="minorHAnsi" w:hAnsiTheme="minorHAnsi"/>
                  <w:lang w:val="sv-SE"/>
                </w:rPr>
                <w:t>13</w:t>
              </w:r>
              <w:proofErr w:type="gramEnd"/>
              <w:r w:rsidRPr="009E4A8A">
                <w:rPr>
                  <w:rFonts w:asciiTheme="minorHAnsi" w:hAnsiTheme="minorHAnsi"/>
                  <w:lang w:val="sv-SE"/>
                </w:rPr>
                <w:t xml:space="preserve">:e </w:t>
              </w:r>
              <w:r>
                <w:rPr>
                  <w:rFonts w:asciiTheme="minorHAnsi" w:hAnsiTheme="minorHAnsi"/>
                  <w:lang w:val="sv-SE"/>
                </w:rPr>
                <w:t>februari</w:t>
              </w:r>
              <w:r w:rsidRPr="009E4A8A">
                <w:rPr>
                  <w:rFonts w:asciiTheme="minorHAnsi" w:hAnsiTheme="minorHAnsi"/>
                  <w:lang w:val="sv-SE"/>
                </w:rPr>
                <w:t xml:space="preserve">, </w:t>
              </w:r>
              <w:hyperlink r:id="rId17" w:history="1">
                <w:r w:rsidRPr="00D96D5A">
                  <w:rPr>
                    <w:rStyle w:val="Hyperlnk"/>
                    <w:rFonts w:asciiTheme="minorHAnsi" w:hAnsiTheme="minorHAnsi"/>
                    <w:lang w:val="sv-SE"/>
                  </w:rPr>
                  <w:t>https://lakartidningen.se/aktuellt/nyheter/2023/02/region-stockholm-avskaffar-vardval-vid-utmattningssyndrom/</w:t>
                </w:r>
              </w:hyperlink>
              <w:r>
                <w:rPr>
                  <w:rFonts w:asciiTheme="minorHAnsi" w:hAnsiTheme="minorHAnsi"/>
                  <w:lang w:val="sv-SE"/>
                </w:rPr>
                <w:t xml:space="preserve">. </w:t>
              </w:r>
            </w:p>
            <w:p w14:paraId="062787E0" w14:textId="3A428E03" w:rsidR="00B2351E" w:rsidRPr="00693C62" w:rsidRDefault="00B2351E" w:rsidP="00B2351E">
              <w:pPr>
                <w:ind w:left="284" w:hanging="284"/>
                <w:jc w:val="both"/>
                <w:rPr>
                  <w:rFonts w:asciiTheme="minorHAnsi" w:hAnsiTheme="minorHAnsi"/>
                  <w:lang w:val="sv-SE"/>
                </w:rPr>
              </w:pPr>
              <w:r>
                <w:rPr>
                  <w:rFonts w:asciiTheme="minorHAnsi" w:hAnsiTheme="minorHAnsi"/>
                  <w:lang w:val="en-US"/>
                </w:rPr>
                <w:t xml:space="preserve">Beckert, Walter </w:t>
              </w:r>
              <w:proofErr w:type="spellStart"/>
              <w:r>
                <w:rPr>
                  <w:rFonts w:asciiTheme="minorHAnsi" w:hAnsiTheme="minorHAnsi"/>
                  <w:lang w:val="en-US"/>
                </w:rPr>
                <w:t>och</w:t>
              </w:r>
              <w:proofErr w:type="spellEnd"/>
              <w:r>
                <w:rPr>
                  <w:rFonts w:asciiTheme="minorHAnsi" w:hAnsiTheme="minorHAnsi"/>
                  <w:lang w:val="en-US"/>
                </w:rPr>
                <w:t xml:space="preserve"> Elaine Kelly. 2021</w:t>
              </w:r>
              <w:r w:rsidRPr="00933B65">
                <w:rPr>
                  <w:rFonts w:asciiTheme="minorHAnsi" w:hAnsiTheme="minorHAnsi"/>
                  <w:lang w:val="en-US"/>
                </w:rPr>
                <w:t xml:space="preserve">. </w:t>
              </w:r>
              <w:r>
                <w:rPr>
                  <w:rFonts w:asciiTheme="minorHAnsi" w:hAnsiTheme="minorHAnsi"/>
                  <w:lang w:val="en-US"/>
                </w:rPr>
                <w:t>“</w:t>
              </w:r>
              <w:r w:rsidRPr="00B2351E">
                <w:rPr>
                  <w:rFonts w:asciiTheme="minorHAnsi" w:hAnsiTheme="minorHAnsi"/>
                  <w:lang w:val="en-US"/>
                </w:rPr>
                <w:t>Divided by choice? For-profit providers, patient choice and mechanisms of patient sorting in the English National Health Service</w:t>
              </w:r>
              <w:r w:rsidRPr="00933B65">
                <w:rPr>
                  <w:rFonts w:asciiTheme="minorHAnsi" w:hAnsiTheme="minorHAnsi"/>
                  <w:lang w:val="en-US"/>
                </w:rPr>
                <w:t>.</w:t>
              </w:r>
              <w:r>
                <w:rPr>
                  <w:rFonts w:asciiTheme="minorHAnsi" w:hAnsiTheme="minorHAnsi"/>
                  <w:lang w:val="en-US"/>
                </w:rPr>
                <w:t>”</w:t>
              </w:r>
              <w:r w:rsidRPr="00933B65">
                <w:rPr>
                  <w:rFonts w:asciiTheme="minorHAnsi" w:hAnsiTheme="minorHAnsi"/>
                  <w:lang w:val="en-US"/>
                </w:rPr>
                <w:t xml:space="preserve"> </w:t>
              </w:r>
              <w:r w:rsidRPr="00693C62">
                <w:rPr>
                  <w:rFonts w:asciiTheme="minorHAnsi" w:hAnsiTheme="minorHAnsi"/>
                  <w:lang w:val="sv-SE"/>
                </w:rPr>
                <w:t xml:space="preserve">Health </w:t>
              </w:r>
              <w:proofErr w:type="spellStart"/>
              <w:r w:rsidRPr="00693C62">
                <w:rPr>
                  <w:rFonts w:asciiTheme="minorHAnsi" w:hAnsiTheme="minorHAnsi"/>
                  <w:lang w:val="sv-SE"/>
                </w:rPr>
                <w:t>Economics</w:t>
              </w:r>
              <w:proofErr w:type="spellEnd"/>
              <w:r w:rsidRPr="00693C62">
                <w:rPr>
                  <w:rFonts w:asciiTheme="minorHAnsi" w:hAnsiTheme="minorHAnsi"/>
                  <w:lang w:val="sv-SE"/>
                </w:rPr>
                <w:t xml:space="preserve"> 30 (4): 820–839.</w:t>
              </w:r>
            </w:p>
            <w:p w14:paraId="461A149B" w14:textId="1FE738E1" w:rsidR="00933B65" w:rsidRDefault="00933B65" w:rsidP="001A59AB">
              <w:pPr>
                <w:ind w:left="284" w:hanging="284"/>
                <w:jc w:val="both"/>
                <w:rPr>
                  <w:rFonts w:asciiTheme="minorHAnsi" w:hAnsiTheme="minorHAnsi"/>
                  <w:lang w:val="sv-SE"/>
                </w:rPr>
              </w:pPr>
              <w:r w:rsidRPr="00933B65">
                <w:rPr>
                  <w:rFonts w:asciiTheme="minorHAnsi" w:hAnsiTheme="minorHAnsi"/>
                  <w:lang w:val="sv-SE"/>
                </w:rPr>
                <w:t>Bergman, Mats, 2013. Upphandling och kundval av välfärdstjänster – en teoribakgrund. Uppdrag välfärd.</w:t>
              </w:r>
            </w:p>
            <w:p w14:paraId="7EC154DB" w14:textId="089E907F" w:rsidR="001A59AB" w:rsidRPr="00693C62" w:rsidRDefault="001A59AB" w:rsidP="001A59AB">
              <w:pPr>
                <w:ind w:left="284" w:hanging="284"/>
                <w:jc w:val="both"/>
                <w:rPr>
                  <w:rFonts w:asciiTheme="minorHAnsi" w:hAnsiTheme="minorHAnsi"/>
                  <w:lang w:val="sv-SE"/>
                </w:rPr>
              </w:pPr>
              <w:r w:rsidRPr="009E4A8A">
                <w:rPr>
                  <w:rFonts w:asciiTheme="minorHAnsi" w:hAnsiTheme="minorHAnsi"/>
                  <w:lang w:val="sv-SE"/>
                </w:rPr>
                <w:t xml:space="preserve">Blix, Mårten och Henrik Jordahl. </w:t>
              </w:r>
              <w:r w:rsidRPr="0001366C">
                <w:rPr>
                  <w:rFonts w:asciiTheme="minorHAnsi" w:hAnsiTheme="minorHAnsi"/>
                  <w:lang w:val="sv-SE"/>
                </w:rPr>
                <w:t xml:space="preserve">2009. </w:t>
              </w:r>
              <w:proofErr w:type="spellStart"/>
              <w:r w:rsidRPr="0001366C">
                <w:rPr>
                  <w:rFonts w:asciiTheme="minorHAnsi" w:hAnsiTheme="minorHAnsi"/>
                  <w:i/>
                  <w:iCs/>
                  <w:lang w:val="sv-SE"/>
                </w:rPr>
                <w:t>Privatizing</w:t>
              </w:r>
              <w:proofErr w:type="spellEnd"/>
              <w:r w:rsidRPr="0001366C">
                <w:rPr>
                  <w:rFonts w:asciiTheme="minorHAnsi" w:hAnsiTheme="minorHAnsi"/>
                  <w:i/>
                  <w:iCs/>
                  <w:lang w:val="sv-SE"/>
                </w:rPr>
                <w:t xml:space="preserve"> Welfare Services</w:t>
              </w:r>
              <w:r w:rsidRPr="0001366C">
                <w:rPr>
                  <w:rFonts w:asciiTheme="minorHAnsi" w:hAnsiTheme="minorHAnsi"/>
                  <w:lang w:val="sv-SE"/>
                </w:rPr>
                <w:t xml:space="preserve">. </w:t>
              </w:r>
              <w:r w:rsidRPr="00693C62">
                <w:rPr>
                  <w:rFonts w:asciiTheme="minorHAnsi" w:hAnsiTheme="minorHAnsi"/>
                  <w:lang w:val="sv-SE"/>
                </w:rPr>
                <w:t>Oxford: Oxford University Press.</w:t>
              </w:r>
            </w:p>
            <w:p w14:paraId="272D0579" w14:textId="0B48262F" w:rsidR="00933B65" w:rsidRDefault="00933B65" w:rsidP="001A59AB">
              <w:pPr>
                <w:ind w:left="284" w:hanging="284"/>
                <w:jc w:val="both"/>
                <w:rPr>
                  <w:rFonts w:asciiTheme="minorHAnsi" w:hAnsiTheme="minorHAnsi"/>
                  <w:lang w:val="en-US"/>
                </w:rPr>
              </w:pPr>
              <w:r w:rsidRPr="00693C62">
                <w:rPr>
                  <w:rFonts w:asciiTheme="minorHAnsi" w:hAnsiTheme="minorHAnsi"/>
                  <w:lang w:val="sv-SE"/>
                </w:rPr>
                <w:t xml:space="preserve">Bloom, Nicholas, Renata Lemos, </w:t>
              </w:r>
              <w:proofErr w:type="spellStart"/>
              <w:r w:rsidRPr="00693C62">
                <w:rPr>
                  <w:rFonts w:asciiTheme="minorHAnsi" w:hAnsiTheme="minorHAnsi"/>
                  <w:lang w:val="sv-SE"/>
                </w:rPr>
                <w:t>Raffaella</w:t>
              </w:r>
              <w:proofErr w:type="spellEnd"/>
              <w:r w:rsidRPr="00693C62">
                <w:rPr>
                  <w:rFonts w:asciiTheme="minorHAnsi" w:hAnsiTheme="minorHAnsi"/>
                  <w:lang w:val="sv-SE"/>
                </w:rPr>
                <w:t xml:space="preserve"> </w:t>
              </w:r>
              <w:proofErr w:type="spellStart"/>
              <w:r w:rsidRPr="00693C62">
                <w:rPr>
                  <w:rFonts w:asciiTheme="minorHAnsi" w:hAnsiTheme="minorHAnsi"/>
                  <w:lang w:val="sv-SE"/>
                </w:rPr>
                <w:t>Sadun</w:t>
              </w:r>
              <w:proofErr w:type="spellEnd"/>
              <w:r w:rsidRPr="00693C62">
                <w:rPr>
                  <w:rFonts w:asciiTheme="minorHAnsi" w:hAnsiTheme="minorHAnsi"/>
                  <w:lang w:val="sv-SE"/>
                </w:rPr>
                <w:t xml:space="preserve">, Daniela </w:t>
              </w:r>
              <w:proofErr w:type="spellStart"/>
              <w:r w:rsidRPr="00693C62">
                <w:rPr>
                  <w:rFonts w:asciiTheme="minorHAnsi" w:hAnsiTheme="minorHAnsi"/>
                  <w:lang w:val="sv-SE"/>
                </w:rPr>
                <w:t>Scur</w:t>
              </w:r>
              <w:proofErr w:type="spellEnd"/>
              <w:r w:rsidRPr="00693C62">
                <w:rPr>
                  <w:rFonts w:asciiTheme="minorHAnsi" w:hAnsiTheme="minorHAnsi"/>
                  <w:lang w:val="sv-SE"/>
                </w:rPr>
                <w:t xml:space="preserve"> </w:t>
              </w:r>
              <w:r w:rsidR="00FB008C" w:rsidRPr="00693C62">
                <w:rPr>
                  <w:rFonts w:asciiTheme="minorHAnsi" w:hAnsiTheme="minorHAnsi"/>
                  <w:lang w:val="sv-SE"/>
                </w:rPr>
                <w:t>och</w:t>
              </w:r>
              <w:r w:rsidRPr="00693C62">
                <w:rPr>
                  <w:rFonts w:asciiTheme="minorHAnsi" w:hAnsiTheme="minorHAnsi"/>
                  <w:lang w:val="sv-SE"/>
                </w:rPr>
                <w:t xml:space="preserve"> John Van </w:t>
              </w:r>
              <w:proofErr w:type="spellStart"/>
              <w:r w:rsidRPr="00693C62">
                <w:rPr>
                  <w:rFonts w:asciiTheme="minorHAnsi" w:hAnsiTheme="minorHAnsi"/>
                  <w:lang w:val="sv-SE"/>
                </w:rPr>
                <w:t>Reenen</w:t>
              </w:r>
              <w:proofErr w:type="spellEnd"/>
              <w:r w:rsidR="00B2351E" w:rsidRPr="00693C62">
                <w:rPr>
                  <w:rFonts w:asciiTheme="minorHAnsi" w:hAnsiTheme="minorHAnsi"/>
                  <w:lang w:val="sv-SE"/>
                </w:rPr>
                <w:t>.</w:t>
              </w:r>
              <w:r w:rsidRPr="00693C62">
                <w:rPr>
                  <w:rFonts w:asciiTheme="minorHAnsi" w:hAnsiTheme="minorHAnsi"/>
                  <w:lang w:val="sv-SE"/>
                </w:rPr>
                <w:t xml:space="preserve"> </w:t>
              </w:r>
              <w:r w:rsidRPr="001F77B1">
                <w:rPr>
                  <w:rFonts w:asciiTheme="minorHAnsi" w:hAnsiTheme="minorHAnsi"/>
                  <w:lang w:val="sv-SE"/>
                </w:rPr>
                <w:t xml:space="preserve">2014. </w:t>
              </w:r>
              <w:r w:rsidR="00B2351E">
                <w:rPr>
                  <w:rFonts w:asciiTheme="minorHAnsi" w:hAnsiTheme="minorHAnsi"/>
                  <w:lang w:val="en-US"/>
                </w:rPr>
                <w:t>“</w:t>
              </w:r>
              <w:r w:rsidRPr="00933B65">
                <w:rPr>
                  <w:rFonts w:asciiTheme="minorHAnsi" w:hAnsiTheme="minorHAnsi"/>
                  <w:lang w:val="en-US"/>
                </w:rPr>
                <w:t>The new empirical economics of management.</w:t>
              </w:r>
              <w:r w:rsidR="00B2351E">
                <w:rPr>
                  <w:rFonts w:asciiTheme="minorHAnsi" w:hAnsiTheme="minorHAnsi"/>
                  <w:lang w:val="en-US"/>
                </w:rPr>
                <w:t>”</w:t>
              </w:r>
              <w:r w:rsidRPr="00933B65">
                <w:rPr>
                  <w:rFonts w:asciiTheme="minorHAnsi" w:hAnsiTheme="minorHAnsi"/>
                  <w:lang w:val="en-US"/>
                </w:rPr>
                <w:t xml:space="preserve"> Journal of the European Economic Association 12 (4): 835–</w:t>
              </w:r>
              <w:r w:rsidR="00B2351E">
                <w:rPr>
                  <w:rFonts w:asciiTheme="minorHAnsi" w:hAnsiTheme="minorHAnsi"/>
                  <w:lang w:val="en-US"/>
                </w:rPr>
                <w:t>8</w:t>
              </w:r>
              <w:r w:rsidRPr="00933B65">
                <w:rPr>
                  <w:rFonts w:asciiTheme="minorHAnsi" w:hAnsiTheme="minorHAnsi"/>
                  <w:lang w:val="en-US"/>
                </w:rPr>
                <w:t>76.</w:t>
              </w:r>
            </w:p>
            <w:p w14:paraId="635A3480" w14:textId="69ED84FB" w:rsidR="00933B65" w:rsidRDefault="00933B65" w:rsidP="001A59AB">
              <w:pPr>
                <w:ind w:left="284" w:hanging="284"/>
                <w:jc w:val="both"/>
                <w:rPr>
                  <w:rFonts w:asciiTheme="minorHAnsi" w:hAnsiTheme="minorHAnsi"/>
                  <w:lang w:val="en-US"/>
                </w:rPr>
              </w:pPr>
              <w:r w:rsidRPr="00933B65">
                <w:rPr>
                  <w:rFonts w:asciiTheme="minorHAnsi" w:hAnsiTheme="minorHAnsi"/>
                  <w:lang w:val="en-US"/>
                </w:rPr>
                <w:t xml:space="preserve">Bloom, Nicholas, Carol Propper, Stephan Seiler </w:t>
              </w:r>
              <w:proofErr w:type="spellStart"/>
              <w:r w:rsidR="00FB008C">
                <w:rPr>
                  <w:rFonts w:asciiTheme="minorHAnsi" w:hAnsiTheme="minorHAnsi"/>
                  <w:lang w:val="en-US"/>
                </w:rPr>
                <w:t>och</w:t>
              </w:r>
              <w:proofErr w:type="spellEnd"/>
              <w:r w:rsidRPr="00933B65">
                <w:rPr>
                  <w:rFonts w:asciiTheme="minorHAnsi" w:hAnsiTheme="minorHAnsi"/>
                  <w:lang w:val="en-US"/>
                </w:rPr>
                <w:t xml:space="preserve"> John Van Reenen. 2015. </w:t>
              </w:r>
              <w:r w:rsidR="00DB0E6D">
                <w:rPr>
                  <w:rFonts w:asciiTheme="minorHAnsi" w:hAnsiTheme="minorHAnsi"/>
                  <w:lang w:val="en-US"/>
                </w:rPr>
                <w:t>“</w:t>
              </w:r>
              <w:r w:rsidRPr="00933B65">
                <w:rPr>
                  <w:rFonts w:asciiTheme="minorHAnsi" w:hAnsiTheme="minorHAnsi"/>
                  <w:lang w:val="en-US"/>
                </w:rPr>
                <w:t>The Impact of Competition on Management Quality: Evidence from Public Hospitals</w:t>
              </w:r>
              <w:r w:rsidR="00DB0E6D">
                <w:rPr>
                  <w:rFonts w:asciiTheme="minorHAnsi" w:hAnsiTheme="minorHAnsi"/>
                  <w:lang w:val="en-US"/>
                </w:rPr>
                <w:t>”</w:t>
              </w:r>
              <w:r w:rsidRPr="00933B65">
                <w:rPr>
                  <w:rFonts w:asciiTheme="minorHAnsi" w:hAnsiTheme="minorHAnsi"/>
                  <w:lang w:val="en-US"/>
                </w:rPr>
                <w:t>. Review of Economic Studies 82 (2), 457–</w:t>
              </w:r>
              <w:r w:rsidR="00B2351E">
                <w:rPr>
                  <w:rFonts w:asciiTheme="minorHAnsi" w:hAnsiTheme="minorHAnsi"/>
                  <w:lang w:val="en-US"/>
                </w:rPr>
                <w:t>4</w:t>
              </w:r>
              <w:r w:rsidRPr="00933B65">
                <w:rPr>
                  <w:rFonts w:asciiTheme="minorHAnsi" w:hAnsiTheme="minorHAnsi"/>
                  <w:lang w:val="en-US"/>
                </w:rPr>
                <w:t>89.</w:t>
              </w:r>
            </w:p>
            <w:p w14:paraId="51EB3E0E" w14:textId="13D2BB0D" w:rsidR="00AC040D" w:rsidRDefault="00AC040D" w:rsidP="00AC040D">
              <w:pPr>
                <w:ind w:left="284" w:hanging="284"/>
                <w:jc w:val="both"/>
                <w:rPr>
                  <w:rFonts w:asciiTheme="minorHAnsi" w:hAnsiTheme="minorHAnsi"/>
                  <w:lang w:val="en-US"/>
                </w:rPr>
              </w:pPr>
              <w:r>
                <w:rPr>
                  <w:rFonts w:asciiTheme="minorHAnsi" w:hAnsiTheme="minorHAnsi"/>
                  <w:lang w:val="en-US"/>
                </w:rPr>
                <w:t xml:space="preserve">Brekke, Kurt R., Chiara Canta, Luigi Siciliani </w:t>
              </w:r>
              <w:proofErr w:type="spellStart"/>
              <w:r>
                <w:rPr>
                  <w:rFonts w:asciiTheme="minorHAnsi" w:hAnsiTheme="minorHAnsi"/>
                  <w:lang w:val="en-US"/>
                </w:rPr>
                <w:t>och</w:t>
              </w:r>
              <w:proofErr w:type="spellEnd"/>
              <w:r>
                <w:rPr>
                  <w:rFonts w:asciiTheme="minorHAnsi" w:hAnsiTheme="minorHAnsi"/>
                  <w:lang w:val="en-US"/>
                </w:rPr>
                <w:t xml:space="preserve"> Odd Rune Straume</w:t>
              </w:r>
              <w:r w:rsidRPr="00933B65">
                <w:rPr>
                  <w:rFonts w:asciiTheme="minorHAnsi" w:hAnsiTheme="minorHAnsi"/>
                  <w:lang w:val="en-US"/>
                </w:rPr>
                <w:t>. 20</w:t>
              </w:r>
              <w:r>
                <w:rPr>
                  <w:rFonts w:asciiTheme="minorHAnsi" w:hAnsiTheme="minorHAnsi"/>
                  <w:lang w:val="en-US"/>
                </w:rPr>
                <w:t>21</w:t>
              </w:r>
              <w:r w:rsidRPr="00933B65">
                <w:rPr>
                  <w:rFonts w:asciiTheme="minorHAnsi" w:hAnsiTheme="minorHAnsi"/>
                  <w:lang w:val="en-US"/>
                </w:rPr>
                <w:t xml:space="preserve">. </w:t>
              </w:r>
              <w:r>
                <w:rPr>
                  <w:rFonts w:asciiTheme="minorHAnsi" w:hAnsiTheme="minorHAnsi"/>
                  <w:lang w:val="en-US"/>
                </w:rPr>
                <w:t>“</w:t>
              </w:r>
              <w:r w:rsidRPr="00AC040D">
                <w:rPr>
                  <w:rFonts w:asciiTheme="minorHAnsi" w:hAnsiTheme="minorHAnsi"/>
                  <w:lang w:val="en-US"/>
                </w:rPr>
                <w:t>Hospital competition in a national health service: Evidence from a patient choice reform</w:t>
              </w:r>
              <w:r>
                <w:rPr>
                  <w:rFonts w:asciiTheme="minorHAnsi" w:hAnsiTheme="minorHAnsi"/>
                  <w:lang w:val="en-US"/>
                </w:rPr>
                <w:t>.”</w:t>
              </w:r>
              <w:r w:rsidRPr="00933B65">
                <w:rPr>
                  <w:rFonts w:asciiTheme="minorHAnsi" w:hAnsiTheme="minorHAnsi"/>
                  <w:lang w:val="en-US"/>
                </w:rPr>
                <w:t xml:space="preserve"> </w:t>
              </w:r>
              <w:r>
                <w:rPr>
                  <w:rFonts w:asciiTheme="minorHAnsi" w:hAnsiTheme="minorHAnsi"/>
                  <w:lang w:val="en-US"/>
                </w:rPr>
                <w:t>Journal of Health Economics</w:t>
              </w:r>
              <w:r w:rsidRPr="00933B65">
                <w:rPr>
                  <w:rFonts w:asciiTheme="minorHAnsi" w:hAnsiTheme="minorHAnsi"/>
                  <w:lang w:val="en-US"/>
                </w:rPr>
                <w:t xml:space="preserve"> </w:t>
              </w:r>
              <w:r>
                <w:rPr>
                  <w:rFonts w:asciiTheme="minorHAnsi" w:hAnsiTheme="minorHAnsi"/>
                  <w:lang w:val="en-US"/>
                </w:rPr>
                <w:t>79</w:t>
              </w:r>
              <w:r w:rsidRPr="00933B65">
                <w:rPr>
                  <w:rFonts w:asciiTheme="minorHAnsi" w:hAnsiTheme="minorHAnsi"/>
                  <w:lang w:val="en-US"/>
                </w:rPr>
                <w:t xml:space="preserve">, </w:t>
              </w:r>
              <w:r w:rsidRPr="00AC040D">
                <w:rPr>
                  <w:rFonts w:asciiTheme="minorHAnsi" w:hAnsiTheme="minorHAnsi"/>
                  <w:lang w:val="en-US"/>
                </w:rPr>
                <w:t>102509</w:t>
              </w:r>
              <w:r>
                <w:rPr>
                  <w:rFonts w:asciiTheme="minorHAnsi" w:hAnsiTheme="minorHAnsi"/>
                  <w:lang w:val="en-US"/>
                </w:rPr>
                <w:t>.</w:t>
              </w:r>
            </w:p>
            <w:p w14:paraId="5A9A4997" w14:textId="6025E06D" w:rsidR="00DB0E6D" w:rsidRDefault="00DB0E6D" w:rsidP="00DB0E6D">
              <w:pPr>
                <w:ind w:left="284" w:hanging="284"/>
                <w:jc w:val="both"/>
                <w:rPr>
                  <w:rFonts w:asciiTheme="minorHAnsi" w:hAnsiTheme="minorHAnsi"/>
                  <w:lang w:val="en-US"/>
                </w:rPr>
              </w:pPr>
              <w:r>
                <w:rPr>
                  <w:rFonts w:asciiTheme="minorHAnsi" w:hAnsiTheme="minorHAnsi"/>
                  <w:lang w:val="en-US"/>
                </w:rPr>
                <w:t xml:space="preserve">Cooper, Zack, Stephen Gibbons </w:t>
              </w:r>
              <w:proofErr w:type="spellStart"/>
              <w:r>
                <w:rPr>
                  <w:rFonts w:asciiTheme="minorHAnsi" w:hAnsiTheme="minorHAnsi"/>
                  <w:lang w:val="en-US"/>
                </w:rPr>
                <w:t>och</w:t>
              </w:r>
              <w:proofErr w:type="spellEnd"/>
              <w:r>
                <w:rPr>
                  <w:rFonts w:asciiTheme="minorHAnsi" w:hAnsiTheme="minorHAnsi"/>
                  <w:lang w:val="en-US"/>
                </w:rPr>
                <w:t xml:space="preserve"> Matthew </w:t>
              </w:r>
              <w:proofErr w:type="spellStart"/>
              <w:r>
                <w:rPr>
                  <w:rFonts w:asciiTheme="minorHAnsi" w:hAnsiTheme="minorHAnsi"/>
                  <w:lang w:val="en-US"/>
                </w:rPr>
                <w:t>Skellern</w:t>
              </w:r>
              <w:proofErr w:type="spellEnd"/>
              <w:r w:rsidRPr="00933B65">
                <w:rPr>
                  <w:rFonts w:asciiTheme="minorHAnsi" w:hAnsiTheme="minorHAnsi"/>
                  <w:lang w:val="en-US"/>
                </w:rPr>
                <w:t xml:space="preserve">. </w:t>
              </w:r>
              <w:r>
                <w:rPr>
                  <w:rFonts w:asciiTheme="minorHAnsi" w:hAnsiTheme="minorHAnsi"/>
                  <w:lang w:val="en-US"/>
                </w:rPr>
                <w:t>2018</w:t>
              </w:r>
              <w:r w:rsidRPr="00933B65">
                <w:rPr>
                  <w:rFonts w:asciiTheme="minorHAnsi" w:hAnsiTheme="minorHAnsi"/>
                  <w:lang w:val="en-US"/>
                </w:rPr>
                <w:t xml:space="preserve">. </w:t>
              </w:r>
              <w:r>
                <w:rPr>
                  <w:rFonts w:asciiTheme="minorHAnsi" w:hAnsiTheme="minorHAnsi"/>
                  <w:lang w:val="en-US"/>
                </w:rPr>
                <w:t>“</w:t>
              </w:r>
              <w:r w:rsidRPr="00DB0E6D">
                <w:rPr>
                  <w:rFonts w:asciiTheme="minorHAnsi" w:hAnsiTheme="minorHAnsi"/>
                  <w:lang w:val="en-US"/>
                </w:rPr>
                <w:t xml:space="preserve">Does competition from private surgical </w:t>
              </w:r>
              <w:proofErr w:type="spellStart"/>
              <w:r w:rsidRPr="00DB0E6D">
                <w:rPr>
                  <w:rFonts w:asciiTheme="minorHAnsi" w:hAnsiTheme="minorHAnsi"/>
                  <w:lang w:val="en-US"/>
                </w:rPr>
                <w:t>centres</w:t>
              </w:r>
              <w:proofErr w:type="spellEnd"/>
              <w:r w:rsidRPr="00DB0E6D">
                <w:rPr>
                  <w:rFonts w:asciiTheme="minorHAnsi" w:hAnsiTheme="minorHAnsi"/>
                  <w:lang w:val="en-US"/>
                </w:rPr>
                <w:t xml:space="preserve"> improve public hospitals' performance? Evidence from the English National Health Service</w:t>
              </w:r>
              <w:r w:rsidRPr="00933B65">
                <w:rPr>
                  <w:rFonts w:asciiTheme="minorHAnsi" w:hAnsiTheme="minorHAnsi"/>
                  <w:lang w:val="en-US"/>
                </w:rPr>
                <w:t>’. Review of Economic Studies 82 (2), 457–89.</w:t>
              </w:r>
            </w:p>
            <w:p w14:paraId="5F3E4597" w14:textId="37FDEF65" w:rsidR="00933B65" w:rsidRPr="00933B65" w:rsidRDefault="00933B65" w:rsidP="00933B65">
              <w:pPr>
                <w:ind w:left="284" w:hanging="284"/>
                <w:jc w:val="both"/>
                <w:rPr>
                  <w:rFonts w:asciiTheme="minorHAnsi" w:hAnsiTheme="minorHAnsi"/>
                  <w:lang w:val="en-US"/>
                </w:rPr>
              </w:pPr>
              <w:r w:rsidRPr="00693C62">
                <w:rPr>
                  <w:rFonts w:asciiTheme="minorHAnsi" w:hAnsiTheme="minorHAnsi"/>
                  <w:lang w:val="nb-NO"/>
                </w:rPr>
                <w:t xml:space="preserve">Dietrichson, J., Ellegård, L.M., Kjellsson, G., 2020. </w:t>
              </w:r>
              <w:r w:rsidR="00DB0E6D">
                <w:rPr>
                  <w:rFonts w:asciiTheme="minorHAnsi" w:hAnsiTheme="minorHAnsi"/>
                  <w:lang w:val="en-US"/>
                </w:rPr>
                <w:t>“</w:t>
              </w:r>
              <w:r w:rsidRPr="00933B65">
                <w:rPr>
                  <w:rFonts w:asciiTheme="minorHAnsi" w:hAnsiTheme="minorHAnsi"/>
                  <w:lang w:val="en-US"/>
                </w:rPr>
                <w:t>Patient choice, entry, and the quality of primary care: Evidence from Swedish reforms.</w:t>
              </w:r>
              <w:r w:rsidR="00DB0E6D">
                <w:rPr>
                  <w:rFonts w:asciiTheme="minorHAnsi" w:hAnsiTheme="minorHAnsi"/>
                  <w:lang w:val="en-US"/>
                </w:rPr>
                <w:t>”</w:t>
              </w:r>
              <w:r w:rsidRPr="00933B65">
                <w:rPr>
                  <w:rFonts w:asciiTheme="minorHAnsi" w:hAnsiTheme="minorHAnsi"/>
                  <w:lang w:val="en-US"/>
                </w:rPr>
                <w:t xml:space="preserve"> Health Economics, 29(6), 716‒730. </w:t>
              </w:r>
              <w:proofErr w:type="spellStart"/>
              <w:r w:rsidRPr="00933B65">
                <w:rPr>
                  <w:rFonts w:asciiTheme="minorHAnsi" w:hAnsiTheme="minorHAnsi"/>
                  <w:lang w:val="en-US"/>
                </w:rPr>
                <w:t>doi</w:t>
              </w:r>
              <w:proofErr w:type="spellEnd"/>
              <w:r w:rsidRPr="00933B65">
                <w:rPr>
                  <w:rFonts w:asciiTheme="minorHAnsi" w:hAnsiTheme="minorHAnsi"/>
                  <w:lang w:val="en-US"/>
                </w:rPr>
                <w:t>: 10.1002/hec.4015</w:t>
              </w:r>
            </w:p>
            <w:p w14:paraId="73009894" w14:textId="27329262" w:rsidR="00933B65" w:rsidRPr="00933B65" w:rsidRDefault="00933B65" w:rsidP="00933B65">
              <w:pPr>
                <w:ind w:left="284" w:hanging="284"/>
                <w:jc w:val="both"/>
                <w:rPr>
                  <w:rFonts w:asciiTheme="minorHAnsi" w:hAnsiTheme="minorHAnsi"/>
                  <w:lang w:val="en-US"/>
                </w:rPr>
              </w:pPr>
              <w:r w:rsidRPr="00CC31DA">
                <w:rPr>
                  <w:rFonts w:asciiTheme="minorHAnsi" w:hAnsiTheme="minorHAnsi"/>
                  <w:lang w:val="sv-SE"/>
                </w:rPr>
                <w:t xml:space="preserve">Duggan, </w:t>
              </w:r>
              <w:proofErr w:type="gramStart"/>
              <w:r w:rsidRPr="00CC31DA">
                <w:rPr>
                  <w:rFonts w:asciiTheme="minorHAnsi" w:hAnsiTheme="minorHAnsi"/>
                  <w:lang w:val="sv-SE"/>
                </w:rPr>
                <w:t>M. ,</w:t>
              </w:r>
              <w:proofErr w:type="gramEnd"/>
              <w:r w:rsidRPr="00CC31DA">
                <w:rPr>
                  <w:rFonts w:asciiTheme="minorHAnsi" w:hAnsiTheme="minorHAnsi"/>
                  <w:lang w:val="sv-SE"/>
                </w:rPr>
                <w:t xml:space="preserve"> Gupta, A., Jackson, E., Templeton, Z., 2023. </w:t>
              </w:r>
              <w:r w:rsidR="00DB0E6D">
                <w:rPr>
                  <w:rFonts w:asciiTheme="minorHAnsi" w:hAnsiTheme="minorHAnsi"/>
                  <w:lang w:val="en-US"/>
                </w:rPr>
                <w:t>“</w:t>
              </w:r>
              <w:r w:rsidRPr="00933B65">
                <w:rPr>
                  <w:rFonts w:asciiTheme="minorHAnsi" w:hAnsiTheme="minorHAnsi"/>
                  <w:lang w:val="en-US"/>
                </w:rPr>
                <w:t>The impact of privatization: Evidence from the hospital sector.</w:t>
              </w:r>
              <w:r w:rsidR="00DB0E6D">
                <w:rPr>
                  <w:rFonts w:asciiTheme="minorHAnsi" w:hAnsiTheme="minorHAnsi"/>
                  <w:lang w:val="en-US"/>
                </w:rPr>
                <w:t>”</w:t>
              </w:r>
              <w:r w:rsidRPr="00933B65">
                <w:rPr>
                  <w:rFonts w:asciiTheme="minorHAnsi" w:hAnsiTheme="minorHAnsi"/>
                  <w:lang w:val="en-US"/>
                </w:rPr>
                <w:t xml:space="preserve"> NBER Working Paper 30824. National Bureau of Economic Research.</w:t>
              </w:r>
            </w:p>
            <w:p w14:paraId="78EA6717" w14:textId="1ABC79AB" w:rsidR="00933B65" w:rsidRPr="001556D7" w:rsidRDefault="00933B65" w:rsidP="00933B65">
              <w:pPr>
                <w:ind w:left="284" w:hanging="284"/>
                <w:jc w:val="both"/>
                <w:rPr>
                  <w:rFonts w:asciiTheme="minorHAnsi" w:hAnsiTheme="minorHAnsi"/>
                  <w:lang w:val="sv-SE"/>
                </w:rPr>
              </w:pPr>
              <w:r w:rsidRPr="00CC31DA">
                <w:rPr>
                  <w:rFonts w:asciiTheme="minorHAnsi" w:hAnsiTheme="minorHAnsi"/>
                  <w:lang w:val="sv-SE"/>
                </w:rPr>
                <w:t xml:space="preserve">Eriksson, T., Levin, L.-Å., 2018. </w:t>
              </w:r>
              <w:r w:rsidR="00DB0E6D" w:rsidRPr="001556D7">
                <w:rPr>
                  <w:rFonts w:asciiTheme="minorHAnsi" w:hAnsiTheme="minorHAnsi"/>
                  <w:lang w:val="sv-SE"/>
                </w:rPr>
                <w:t>“</w:t>
              </w:r>
              <w:r w:rsidRPr="001556D7">
                <w:rPr>
                  <w:rFonts w:asciiTheme="minorHAnsi" w:hAnsiTheme="minorHAnsi"/>
                  <w:lang w:val="sv-SE"/>
                </w:rPr>
                <w:t xml:space="preserve">Utvärdering av </w:t>
              </w:r>
              <w:proofErr w:type="gramStart"/>
              <w:r w:rsidRPr="001556D7">
                <w:rPr>
                  <w:rFonts w:asciiTheme="minorHAnsi" w:hAnsiTheme="minorHAnsi"/>
                  <w:lang w:val="sv-SE"/>
                </w:rPr>
                <w:t>vårdval ryggkirurgi</w:t>
              </w:r>
              <w:proofErr w:type="gramEnd"/>
              <w:r w:rsidRPr="001556D7">
                <w:rPr>
                  <w:rFonts w:asciiTheme="minorHAnsi" w:hAnsiTheme="minorHAnsi"/>
                  <w:lang w:val="sv-SE"/>
                </w:rPr>
                <w:t xml:space="preserve"> i Stockholms län.</w:t>
              </w:r>
              <w:r w:rsidR="00DB0E6D" w:rsidRPr="001556D7">
                <w:rPr>
                  <w:rFonts w:asciiTheme="minorHAnsi" w:hAnsiTheme="minorHAnsi"/>
                  <w:lang w:val="sv-SE"/>
                </w:rPr>
                <w:t>”</w:t>
              </w:r>
              <w:r w:rsidRPr="001556D7">
                <w:rPr>
                  <w:rFonts w:asciiTheme="minorHAnsi" w:hAnsiTheme="minorHAnsi"/>
                  <w:lang w:val="sv-SE"/>
                </w:rPr>
                <w:t xml:space="preserve"> Rapport 2018:1 i CMT:s rapportserie, Linköpings universitet.</w:t>
              </w:r>
            </w:p>
            <w:p w14:paraId="58B0450C" w14:textId="7E628C2C" w:rsidR="001623FD" w:rsidRPr="00DF74E1" w:rsidRDefault="001623FD" w:rsidP="001623FD">
              <w:pPr>
                <w:ind w:left="284" w:hanging="284"/>
                <w:jc w:val="both"/>
                <w:rPr>
                  <w:rFonts w:asciiTheme="minorHAnsi" w:hAnsiTheme="minorHAnsi"/>
                  <w:lang w:val="en-US"/>
                </w:rPr>
              </w:pPr>
              <w:r>
                <w:rPr>
                  <w:rFonts w:asciiTheme="minorHAnsi" w:hAnsiTheme="minorHAnsi"/>
                  <w:lang w:val="sv-SE"/>
                </w:rPr>
                <w:t>Ge, Ge, Tor Iversen, Oddvar</w:t>
              </w:r>
              <w:r w:rsidRPr="001556D7">
                <w:rPr>
                  <w:lang w:val="sv-SE"/>
                </w:rPr>
                <w:t xml:space="preserve"> </w:t>
              </w:r>
              <w:proofErr w:type="spellStart"/>
              <w:r w:rsidRPr="001623FD">
                <w:rPr>
                  <w:rFonts w:asciiTheme="minorHAnsi" w:hAnsiTheme="minorHAnsi"/>
                  <w:lang w:val="sv-SE"/>
                </w:rPr>
                <w:t>Kaarbøe</w:t>
              </w:r>
              <w:proofErr w:type="spellEnd"/>
              <w:r>
                <w:rPr>
                  <w:rFonts w:asciiTheme="minorHAnsi" w:hAnsiTheme="minorHAnsi"/>
                  <w:lang w:val="sv-SE"/>
                </w:rPr>
                <w:t xml:space="preserve"> och </w:t>
              </w:r>
              <w:proofErr w:type="spellStart"/>
              <w:r w:rsidRPr="001623FD">
                <w:rPr>
                  <w:rFonts w:asciiTheme="minorHAnsi" w:hAnsiTheme="minorHAnsi"/>
                  <w:lang w:val="sv-SE"/>
                </w:rPr>
                <w:t>Øyvind</w:t>
              </w:r>
              <w:proofErr w:type="spellEnd"/>
              <w:r w:rsidRPr="001623FD">
                <w:rPr>
                  <w:rFonts w:asciiTheme="minorHAnsi" w:hAnsiTheme="minorHAnsi"/>
                  <w:lang w:val="sv-SE"/>
                </w:rPr>
                <w:t xml:space="preserve"> </w:t>
              </w:r>
              <w:proofErr w:type="spellStart"/>
              <w:r w:rsidRPr="001623FD">
                <w:rPr>
                  <w:rFonts w:asciiTheme="minorHAnsi" w:hAnsiTheme="minorHAnsi"/>
                  <w:lang w:val="sv-SE"/>
                </w:rPr>
                <w:t>Snilsberg</w:t>
              </w:r>
              <w:proofErr w:type="spellEnd"/>
              <w:r>
                <w:rPr>
                  <w:rFonts w:asciiTheme="minorHAnsi" w:hAnsiTheme="minorHAnsi"/>
                  <w:lang w:val="sv-SE"/>
                </w:rPr>
                <w:t xml:space="preserve">. </w:t>
              </w:r>
              <w:r w:rsidRPr="0001366C">
                <w:rPr>
                  <w:rFonts w:asciiTheme="minorHAnsi" w:hAnsiTheme="minorHAnsi"/>
                  <w:lang w:val="en-US"/>
                </w:rPr>
                <w:t xml:space="preserve">2024. Impacts of Norway's extended free choice reform on waiting times and hospital visits.” Health Economics </w:t>
              </w:r>
              <w:hyperlink r:id="rId18" w:history="1">
                <w:r w:rsidRPr="0001366C">
                  <w:rPr>
                    <w:rStyle w:val="Hyperlnk"/>
                    <w:rFonts w:asciiTheme="minorHAnsi" w:hAnsiTheme="minorHAnsi"/>
                    <w:lang w:val="en-US"/>
                  </w:rPr>
                  <w:t>https://doi.org/10.1002/hec.4801</w:t>
                </w:r>
              </w:hyperlink>
              <w:r w:rsidRPr="0001366C">
                <w:rPr>
                  <w:rFonts w:asciiTheme="minorHAnsi" w:hAnsiTheme="minorHAnsi"/>
                  <w:lang w:val="en-US"/>
                </w:rPr>
                <w:t xml:space="preserve">. </w:t>
              </w:r>
            </w:p>
            <w:p w14:paraId="32889738" w14:textId="4ADC8A8F" w:rsidR="00933B65" w:rsidRPr="0001366C" w:rsidRDefault="00933B65" w:rsidP="00933B65">
              <w:pPr>
                <w:ind w:left="284" w:hanging="284"/>
                <w:jc w:val="both"/>
                <w:rPr>
                  <w:rFonts w:asciiTheme="minorHAnsi" w:hAnsiTheme="minorHAnsi"/>
                  <w:lang w:val="sv-SE"/>
                </w:rPr>
              </w:pPr>
              <w:r w:rsidRPr="00CC31DA">
                <w:rPr>
                  <w:rFonts w:asciiTheme="minorHAnsi" w:hAnsiTheme="minorHAnsi"/>
                  <w:lang w:val="sv-SE"/>
                </w:rPr>
                <w:t xml:space="preserve">Goude, F., Garellick, G., </w:t>
              </w:r>
              <w:proofErr w:type="gramStart"/>
              <w:r w:rsidRPr="00CC31DA">
                <w:rPr>
                  <w:rFonts w:asciiTheme="minorHAnsi" w:hAnsiTheme="minorHAnsi"/>
                  <w:lang w:val="sv-SE"/>
                </w:rPr>
                <w:t>Kittelsen ,</w:t>
              </w:r>
              <w:proofErr w:type="gramEnd"/>
              <w:r w:rsidRPr="00CC31DA">
                <w:rPr>
                  <w:rFonts w:asciiTheme="minorHAnsi" w:hAnsiTheme="minorHAnsi"/>
                  <w:lang w:val="sv-SE"/>
                </w:rPr>
                <w:t xml:space="preserve">S., Malchau, H., Peltola, M., Rehnberg, C., 2022. </w:t>
              </w:r>
              <w:r w:rsidR="00DB0E6D">
                <w:rPr>
                  <w:rFonts w:asciiTheme="minorHAnsi" w:hAnsiTheme="minorHAnsi"/>
                  <w:lang w:val="en-US"/>
                </w:rPr>
                <w:t>“</w:t>
              </w:r>
              <w:r w:rsidRPr="00933B65">
                <w:rPr>
                  <w:rFonts w:asciiTheme="minorHAnsi" w:hAnsiTheme="minorHAnsi"/>
                  <w:lang w:val="en-US"/>
                </w:rPr>
                <w:t>Effects of competition and bundled payment on the performance of hip replacement surgery in Stockholm, Sweden: Results from a quasi-experimental study.</w:t>
              </w:r>
              <w:r w:rsidR="00DB0E6D">
                <w:rPr>
                  <w:rFonts w:asciiTheme="minorHAnsi" w:hAnsiTheme="minorHAnsi"/>
                  <w:lang w:val="en-US"/>
                </w:rPr>
                <w:t>”</w:t>
              </w:r>
              <w:r w:rsidRPr="00933B65">
                <w:rPr>
                  <w:rFonts w:asciiTheme="minorHAnsi" w:hAnsiTheme="minorHAnsi"/>
                  <w:lang w:val="en-US"/>
                </w:rPr>
                <w:t xml:space="preserve"> </w:t>
              </w:r>
              <w:r w:rsidRPr="0001366C">
                <w:rPr>
                  <w:rFonts w:asciiTheme="minorHAnsi" w:hAnsiTheme="minorHAnsi"/>
                  <w:lang w:val="sv-SE"/>
                </w:rPr>
                <w:t xml:space="preserve">BMJ </w:t>
              </w:r>
              <w:proofErr w:type="spellStart"/>
              <w:r w:rsidRPr="0001366C">
                <w:rPr>
                  <w:rFonts w:asciiTheme="minorHAnsi" w:hAnsiTheme="minorHAnsi"/>
                  <w:lang w:val="sv-SE"/>
                </w:rPr>
                <w:t>Open</w:t>
              </w:r>
              <w:proofErr w:type="spellEnd"/>
              <w:r w:rsidRPr="0001366C">
                <w:rPr>
                  <w:rFonts w:asciiTheme="minorHAnsi" w:hAnsiTheme="minorHAnsi"/>
                  <w:lang w:val="sv-SE"/>
                </w:rPr>
                <w:t xml:space="preserve"> 2022;12:e061077. </w:t>
              </w:r>
              <w:proofErr w:type="spellStart"/>
              <w:r w:rsidRPr="0001366C">
                <w:rPr>
                  <w:rFonts w:asciiTheme="minorHAnsi" w:hAnsiTheme="minorHAnsi"/>
                  <w:lang w:val="sv-SE"/>
                </w:rPr>
                <w:t>doi</w:t>
              </w:r>
              <w:proofErr w:type="spellEnd"/>
              <w:r w:rsidRPr="0001366C">
                <w:rPr>
                  <w:rFonts w:asciiTheme="minorHAnsi" w:hAnsiTheme="minorHAnsi"/>
                  <w:lang w:val="sv-SE"/>
                </w:rPr>
                <w:t xml:space="preserve">: </w:t>
              </w:r>
              <w:proofErr w:type="gramStart"/>
              <w:r w:rsidRPr="0001366C">
                <w:rPr>
                  <w:rFonts w:asciiTheme="minorHAnsi" w:hAnsiTheme="minorHAnsi"/>
                  <w:lang w:val="sv-SE"/>
                </w:rPr>
                <w:t>10.1136</w:t>
              </w:r>
              <w:proofErr w:type="gramEnd"/>
              <w:r w:rsidRPr="0001366C">
                <w:rPr>
                  <w:rFonts w:asciiTheme="minorHAnsi" w:hAnsiTheme="minorHAnsi"/>
                  <w:lang w:val="sv-SE"/>
                </w:rPr>
                <w:t>/bmjopen-2022-061077.</w:t>
              </w:r>
            </w:p>
            <w:p w14:paraId="79E488BB" w14:textId="7358362F" w:rsidR="0073675E" w:rsidRDefault="0073675E" w:rsidP="0073675E">
              <w:pPr>
                <w:ind w:left="284" w:hanging="284"/>
                <w:jc w:val="both"/>
                <w:rPr>
                  <w:rFonts w:asciiTheme="minorHAnsi" w:hAnsiTheme="minorHAnsi"/>
                  <w:lang w:val="sv-SE"/>
                </w:rPr>
              </w:pPr>
              <w:r w:rsidRPr="0001366C">
                <w:rPr>
                  <w:rFonts w:asciiTheme="minorHAnsi" w:hAnsiTheme="minorHAnsi"/>
                  <w:lang w:val="sv-SE"/>
                </w:rPr>
                <w:t xml:space="preserve">Gustafsson, Anna. 2024. </w:t>
              </w:r>
              <w:r w:rsidRPr="009E4A8A">
                <w:rPr>
                  <w:rFonts w:asciiTheme="minorHAnsi" w:hAnsiTheme="minorHAnsi"/>
                  <w:lang w:val="sv-SE"/>
                </w:rPr>
                <w:t>“</w:t>
              </w:r>
              <w:r w:rsidRPr="00B450B3">
                <w:rPr>
                  <w:rFonts w:asciiTheme="minorHAnsi" w:hAnsiTheme="minorHAnsi"/>
                  <w:lang w:val="sv-SE"/>
                </w:rPr>
                <w:t>Region Stockholm vill köpa bolaget bakom 1177</w:t>
              </w:r>
              <w:r w:rsidRPr="009E4A8A">
                <w:rPr>
                  <w:rFonts w:asciiTheme="minorHAnsi" w:hAnsiTheme="minorHAnsi"/>
                  <w:lang w:val="sv-SE"/>
                </w:rPr>
                <w:t xml:space="preserve">”, </w:t>
              </w:r>
              <w:r>
                <w:rPr>
                  <w:rFonts w:asciiTheme="minorHAnsi" w:hAnsiTheme="minorHAnsi"/>
                  <w:lang w:val="sv-SE"/>
                </w:rPr>
                <w:t xml:space="preserve">Dagens </w:t>
              </w:r>
              <w:proofErr w:type="gramStart"/>
              <w:r>
                <w:rPr>
                  <w:rFonts w:asciiTheme="minorHAnsi" w:hAnsiTheme="minorHAnsi"/>
                  <w:lang w:val="sv-SE"/>
                </w:rPr>
                <w:t>Nyheter</w:t>
              </w:r>
              <w:r w:rsidRPr="009E4A8A">
                <w:rPr>
                  <w:rFonts w:asciiTheme="minorHAnsi" w:hAnsiTheme="minorHAnsi"/>
                  <w:lang w:val="sv-SE"/>
                </w:rPr>
                <w:t xml:space="preserve">,  </w:t>
              </w:r>
              <w:r>
                <w:rPr>
                  <w:rFonts w:asciiTheme="minorHAnsi" w:hAnsiTheme="minorHAnsi"/>
                  <w:lang w:val="sv-SE"/>
                </w:rPr>
                <w:t>15</w:t>
              </w:r>
              <w:proofErr w:type="gramEnd"/>
              <w:r w:rsidRPr="009E4A8A">
                <w:rPr>
                  <w:rFonts w:asciiTheme="minorHAnsi" w:hAnsiTheme="minorHAnsi"/>
                  <w:lang w:val="sv-SE"/>
                </w:rPr>
                <w:t xml:space="preserve">:e </w:t>
              </w:r>
              <w:r>
                <w:rPr>
                  <w:rFonts w:asciiTheme="minorHAnsi" w:hAnsiTheme="minorHAnsi"/>
                  <w:lang w:val="sv-SE"/>
                </w:rPr>
                <w:t>januari</w:t>
              </w:r>
              <w:r w:rsidRPr="009E4A8A">
                <w:rPr>
                  <w:rFonts w:asciiTheme="minorHAnsi" w:hAnsiTheme="minorHAnsi"/>
                  <w:lang w:val="sv-SE"/>
                </w:rPr>
                <w:t xml:space="preserve">, </w:t>
              </w:r>
              <w:hyperlink r:id="rId19" w:history="1">
                <w:r w:rsidRPr="00CA58FB">
                  <w:rPr>
                    <w:rStyle w:val="Hyperlnk"/>
                    <w:rFonts w:asciiTheme="minorHAnsi" w:hAnsiTheme="minorHAnsi"/>
                    <w:lang w:val="sv-SE"/>
                  </w:rPr>
                  <w:t>https://www.dn.se/sverige/region-stockholm-vill-kopa-bolaget-bakom-1177/</w:t>
                </w:r>
              </w:hyperlink>
              <w:r>
                <w:rPr>
                  <w:rFonts w:asciiTheme="minorHAnsi" w:hAnsiTheme="minorHAnsi"/>
                  <w:lang w:val="sv-SE"/>
                </w:rPr>
                <w:t xml:space="preserve">. </w:t>
              </w:r>
            </w:p>
            <w:p w14:paraId="581E07D2" w14:textId="36892F3A" w:rsidR="00224003" w:rsidRDefault="00224003" w:rsidP="00224003">
              <w:pPr>
                <w:ind w:left="284" w:hanging="284"/>
                <w:jc w:val="both"/>
                <w:rPr>
                  <w:lang w:val="sv-SE"/>
                </w:rPr>
              </w:pPr>
              <w:r>
                <w:rPr>
                  <w:rFonts w:asciiTheme="minorHAnsi" w:hAnsiTheme="minorHAnsi"/>
                  <w:lang w:val="sv-SE"/>
                </w:rPr>
                <w:t>Gårdsäter, Emma och Fredrik Mellgren</w:t>
              </w:r>
              <w:r w:rsidRPr="009E4A8A">
                <w:rPr>
                  <w:rFonts w:asciiTheme="minorHAnsi" w:hAnsiTheme="minorHAnsi"/>
                  <w:lang w:val="sv-SE"/>
                </w:rPr>
                <w:t xml:space="preserve">. </w:t>
              </w:r>
              <w:r>
                <w:rPr>
                  <w:rFonts w:asciiTheme="minorHAnsi" w:hAnsiTheme="minorHAnsi"/>
                  <w:lang w:val="sv-SE"/>
                </w:rPr>
                <w:t>2008</w:t>
              </w:r>
              <w:r w:rsidRPr="00224003">
                <w:rPr>
                  <w:rFonts w:asciiTheme="minorHAnsi" w:hAnsiTheme="minorHAnsi"/>
                  <w:lang w:val="sv-SE"/>
                </w:rPr>
                <w:t xml:space="preserve">. “Långa vårdköer trots många politiska löften”, Svenska </w:t>
              </w:r>
              <w:proofErr w:type="gramStart"/>
              <w:r w:rsidRPr="00224003">
                <w:rPr>
                  <w:rFonts w:asciiTheme="minorHAnsi" w:hAnsiTheme="minorHAnsi"/>
                  <w:lang w:val="sv-SE"/>
                </w:rPr>
                <w:t>Dagbladet,  28</w:t>
              </w:r>
              <w:proofErr w:type="gramEnd"/>
              <w:r w:rsidRPr="00224003">
                <w:rPr>
                  <w:rFonts w:asciiTheme="minorHAnsi" w:hAnsiTheme="minorHAnsi"/>
                  <w:lang w:val="sv-SE"/>
                </w:rPr>
                <w:t xml:space="preserve">:e februari, </w:t>
              </w:r>
              <w:hyperlink r:id="rId20" w:history="1">
                <w:r w:rsidRPr="003643D7">
                  <w:rPr>
                    <w:rStyle w:val="Hyperlnk"/>
                    <w:rFonts w:asciiTheme="minorHAnsi" w:hAnsiTheme="minorHAnsi"/>
                    <w:lang w:val="sv-SE"/>
                  </w:rPr>
                  <w:t>https://www.svd.se/a/4fc354e6-4df8-3f7f-89e3-9c170e9eb0be/langa-vardkoer-trots-manga-politiska-loften</w:t>
                </w:r>
              </w:hyperlink>
              <w:r w:rsidRPr="003643D7">
                <w:rPr>
                  <w:rFonts w:asciiTheme="minorHAnsi" w:hAnsiTheme="minorHAnsi"/>
                  <w:lang w:val="sv-SE"/>
                </w:rPr>
                <w:t>.</w:t>
              </w:r>
              <w:r w:rsidRPr="003643D7">
                <w:rPr>
                  <w:lang w:val="sv-SE"/>
                </w:rPr>
                <w:t xml:space="preserve"> </w:t>
              </w:r>
            </w:p>
            <w:p w14:paraId="59143CDC" w14:textId="33FFADD5" w:rsidR="004820DD" w:rsidRPr="00693C62" w:rsidRDefault="004820DD" w:rsidP="00224003">
              <w:pPr>
                <w:ind w:left="284" w:hanging="284"/>
                <w:jc w:val="both"/>
                <w:rPr>
                  <w:rFonts w:asciiTheme="minorHAnsi" w:hAnsiTheme="minorHAnsi"/>
                  <w:lang w:val="en-US"/>
                </w:rPr>
              </w:pPr>
              <w:r w:rsidRPr="00693C62">
                <w:rPr>
                  <w:rFonts w:asciiTheme="minorHAnsi" w:hAnsiTheme="minorHAnsi"/>
                  <w:lang w:val="es-ES"/>
                </w:rPr>
                <w:t xml:space="preserve">Fernández-Pérez, Ángel, Dolores Jiménez-Rubio </w:t>
              </w:r>
              <w:proofErr w:type="spellStart"/>
              <w:r w:rsidRPr="00693C62">
                <w:rPr>
                  <w:rFonts w:asciiTheme="minorHAnsi" w:hAnsiTheme="minorHAnsi"/>
                  <w:lang w:val="es-ES"/>
                </w:rPr>
                <w:t>och</w:t>
              </w:r>
              <w:proofErr w:type="spellEnd"/>
              <w:r w:rsidRPr="00693C62">
                <w:rPr>
                  <w:rFonts w:asciiTheme="minorHAnsi" w:hAnsiTheme="minorHAnsi"/>
                  <w:lang w:val="es-ES"/>
                </w:rPr>
                <w:t xml:space="preserve"> Silvana </w:t>
              </w:r>
              <w:proofErr w:type="spellStart"/>
              <w:r w:rsidRPr="00693C62">
                <w:rPr>
                  <w:rFonts w:asciiTheme="minorHAnsi" w:hAnsiTheme="minorHAnsi"/>
                  <w:lang w:val="es-ES"/>
                </w:rPr>
                <w:t>Robone</w:t>
              </w:r>
              <w:proofErr w:type="spellEnd"/>
              <w:r w:rsidRPr="00693C62">
                <w:rPr>
                  <w:rFonts w:asciiTheme="minorHAnsi" w:hAnsiTheme="minorHAnsi"/>
                  <w:lang w:val="es-ES"/>
                </w:rPr>
                <w:t xml:space="preserve">. </w:t>
              </w:r>
              <w:proofErr w:type="gramStart"/>
              <w:r w:rsidRPr="0001366C">
                <w:rPr>
                  <w:rFonts w:asciiTheme="minorHAnsi" w:hAnsiTheme="minorHAnsi"/>
                  <w:lang w:val="en-US"/>
                </w:rPr>
                <w:t>2022. ”</w:t>
              </w:r>
              <w:proofErr w:type="gramEnd"/>
              <w:r w:rsidRPr="004820DD">
                <w:t xml:space="preserve"> </w:t>
              </w:r>
              <w:r w:rsidRPr="0001366C">
                <w:rPr>
                  <w:rFonts w:asciiTheme="minorHAnsi" w:hAnsiTheme="minorHAnsi"/>
                  <w:lang w:val="en-US"/>
                </w:rPr>
                <w:t xml:space="preserve">Freedom of choice and health services’ performance: Evidence from a national health system.” </w:t>
              </w:r>
              <w:r w:rsidRPr="00693C62">
                <w:rPr>
                  <w:rFonts w:asciiTheme="minorHAnsi" w:hAnsiTheme="minorHAnsi"/>
                  <w:lang w:val="en-US"/>
                </w:rPr>
                <w:t>Health Policy 126(12), 1283–1290.</w:t>
              </w:r>
            </w:p>
            <w:p w14:paraId="669A2C61" w14:textId="4B7EE17E" w:rsidR="0074069C" w:rsidRDefault="001F77B1" w:rsidP="0074069C">
              <w:pPr>
                <w:ind w:left="284" w:hanging="284"/>
                <w:jc w:val="both"/>
                <w:rPr>
                  <w:rFonts w:asciiTheme="minorHAnsi" w:hAnsiTheme="minorHAnsi"/>
                  <w:lang w:val="sv-SE"/>
                </w:rPr>
              </w:pPr>
              <w:proofErr w:type="spellStart"/>
              <w:r w:rsidRPr="00140434">
                <w:rPr>
                  <w:rFonts w:asciiTheme="minorHAnsi" w:hAnsiTheme="minorHAnsi"/>
                  <w:lang w:val="en-US"/>
                </w:rPr>
                <w:lastRenderedPageBreak/>
                <w:t>Hadžialić</w:t>
              </w:r>
              <w:proofErr w:type="spellEnd"/>
              <w:r w:rsidR="009E4A8A" w:rsidRPr="00140434">
                <w:rPr>
                  <w:rFonts w:asciiTheme="minorHAnsi" w:hAnsiTheme="minorHAnsi"/>
                  <w:lang w:val="en-US"/>
                </w:rPr>
                <w:t>, Aida</w:t>
              </w:r>
              <w:r w:rsidR="0074069C" w:rsidRPr="00140434">
                <w:rPr>
                  <w:rFonts w:asciiTheme="minorHAnsi" w:hAnsiTheme="minorHAnsi"/>
                  <w:lang w:val="en-US"/>
                </w:rPr>
                <w:t xml:space="preserve">. 2022. </w:t>
              </w:r>
              <w:r w:rsidR="0074069C" w:rsidRPr="009E4A8A">
                <w:rPr>
                  <w:rFonts w:asciiTheme="minorHAnsi" w:hAnsiTheme="minorHAnsi"/>
                  <w:lang w:val="sv-SE"/>
                </w:rPr>
                <w:t>“</w:t>
              </w:r>
              <w:r w:rsidR="009E4A8A" w:rsidRPr="009E4A8A">
                <w:rPr>
                  <w:rFonts w:asciiTheme="minorHAnsi" w:hAnsiTheme="minorHAnsi"/>
                  <w:lang w:val="sv-SE"/>
                </w:rPr>
                <w:t>Vi måste tillbaka till att ge vård efter behov</w:t>
              </w:r>
              <w:r w:rsidR="0074069C" w:rsidRPr="009E4A8A">
                <w:rPr>
                  <w:rFonts w:asciiTheme="minorHAnsi" w:hAnsiTheme="minorHAnsi"/>
                  <w:lang w:val="sv-SE"/>
                </w:rPr>
                <w:t xml:space="preserve">”, </w:t>
              </w:r>
              <w:r w:rsidR="009E4A8A" w:rsidRPr="009E4A8A">
                <w:rPr>
                  <w:rFonts w:asciiTheme="minorHAnsi" w:hAnsiTheme="minorHAnsi"/>
                  <w:lang w:val="sv-SE"/>
                </w:rPr>
                <w:t xml:space="preserve">Mitt  Stockholm, </w:t>
              </w:r>
              <w:r w:rsidR="0074069C" w:rsidRPr="009E4A8A">
                <w:rPr>
                  <w:rFonts w:asciiTheme="minorHAnsi" w:hAnsiTheme="minorHAnsi"/>
                  <w:lang w:val="sv-SE"/>
                </w:rPr>
                <w:t xml:space="preserve"> </w:t>
              </w:r>
              <w:r w:rsidR="009E4A8A" w:rsidRPr="009E4A8A">
                <w:rPr>
                  <w:rFonts w:asciiTheme="minorHAnsi" w:hAnsiTheme="minorHAnsi"/>
                  <w:lang w:val="sv-SE"/>
                </w:rPr>
                <w:t xml:space="preserve">10:e juni, </w:t>
              </w:r>
              <w:hyperlink r:id="rId21" w:history="1">
                <w:r w:rsidR="009E4A8A" w:rsidRPr="009E4A8A">
                  <w:rPr>
                    <w:rStyle w:val="Hyperlnk"/>
                    <w:rFonts w:asciiTheme="minorHAnsi" w:hAnsiTheme="minorHAnsi"/>
                    <w:lang w:val="sv-SE"/>
                  </w:rPr>
                  <w:t>https://www.mitti.se/debatt/debatt-vi-maste-tillbaka-till-att-ge-vard-efter-behov-6.27.36924.365a8b22e8</w:t>
                </w:r>
              </w:hyperlink>
              <w:r w:rsidR="009E4A8A" w:rsidRPr="009E4A8A">
                <w:rPr>
                  <w:rFonts w:asciiTheme="minorHAnsi" w:hAnsiTheme="minorHAnsi"/>
                  <w:lang w:val="sv-SE"/>
                </w:rPr>
                <w:t xml:space="preserve">. </w:t>
              </w:r>
            </w:p>
            <w:p w14:paraId="353C6CC9" w14:textId="1AE72117" w:rsidR="00933B65" w:rsidRDefault="00933B65" w:rsidP="00933B65">
              <w:pPr>
                <w:ind w:left="284" w:hanging="284"/>
                <w:jc w:val="both"/>
                <w:rPr>
                  <w:rFonts w:asciiTheme="minorHAnsi" w:hAnsiTheme="minorHAnsi"/>
                  <w:lang w:val="en-US"/>
                </w:rPr>
              </w:pPr>
              <w:r w:rsidRPr="0001366C">
                <w:rPr>
                  <w:rFonts w:asciiTheme="minorHAnsi" w:hAnsiTheme="minorHAnsi"/>
                  <w:lang w:val="en-US"/>
                </w:rPr>
                <w:t xml:space="preserve">Hagen, T. P., Holom, G. H., </w:t>
              </w:r>
              <w:proofErr w:type="spellStart"/>
              <w:r w:rsidRPr="0001366C">
                <w:rPr>
                  <w:rFonts w:asciiTheme="minorHAnsi" w:hAnsiTheme="minorHAnsi"/>
                  <w:lang w:val="en-US"/>
                </w:rPr>
                <w:t>Ameyu</w:t>
              </w:r>
              <w:proofErr w:type="spellEnd"/>
              <w:r w:rsidRPr="0001366C">
                <w:rPr>
                  <w:rFonts w:asciiTheme="minorHAnsi" w:hAnsiTheme="minorHAnsi"/>
                  <w:lang w:val="en-US"/>
                </w:rPr>
                <w:t xml:space="preserve">, K. N., </w:t>
              </w:r>
              <w:r w:rsidR="00DB6744" w:rsidRPr="0001366C">
                <w:rPr>
                  <w:rFonts w:asciiTheme="minorHAnsi" w:hAnsiTheme="minorHAnsi"/>
                  <w:lang w:val="en-US"/>
                </w:rPr>
                <w:t>2018</w:t>
              </w:r>
              <w:r w:rsidRPr="0001366C">
                <w:rPr>
                  <w:rFonts w:asciiTheme="minorHAnsi" w:hAnsiTheme="minorHAnsi"/>
                  <w:lang w:val="en-US"/>
                </w:rPr>
                <w:t xml:space="preserve">. </w:t>
              </w:r>
              <w:proofErr w:type="gramStart"/>
              <w:r w:rsidR="00DB0E6D" w:rsidRPr="0001366C">
                <w:rPr>
                  <w:rFonts w:asciiTheme="minorHAnsi" w:hAnsiTheme="minorHAnsi"/>
                  <w:lang w:val="en-US"/>
                </w:rPr>
                <w:t>”</w:t>
              </w:r>
              <w:r w:rsidRPr="0001366C">
                <w:rPr>
                  <w:rFonts w:asciiTheme="minorHAnsi" w:hAnsiTheme="minorHAnsi"/>
                  <w:lang w:val="en-US"/>
                </w:rPr>
                <w:t>Outsourcing</w:t>
              </w:r>
              <w:proofErr w:type="gramEnd"/>
              <w:r w:rsidRPr="0001366C">
                <w:rPr>
                  <w:rFonts w:asciiTheme="minorHAnsi" w:hAnsiTheme="minorHAnsi"/>
                  <w:lang w:val="en-US"/>
                </w:rPr>
                <w:t xml:space="preserve"> day surgery to private for-profit hospitals: the price effects of competitive tendering.</w:t>
              </w:r>
              <w:r w:rsidR="00DB0E6D" w:rsidRPr="0001366C">
                <w:rPr>
                  <w:rFonts w:asciiTheme="minorHAnsi" w:hAnsiTheme="minorHAnsi"/>
                  <w:lang w:val="en-US"/>
                </w:rPr>
                <w:t>”</w:t>
              </w:r>
              <w:r w:rsidRPr="0001366C">
                <w:rPr>
                  <w:rFonts w:asciiTheme="minorHAnsi" w:hAnsiTheme="minorHAnsi"/>
                  <w:lang w:val="en-US"/>
                </w:rPr>
                <w:t xml:space="preserve"> Health Economics, </w:t>
              </w:r>
              <w:proofErr w:type="gramStart"/>
              <w:r w:rsidRPr="0001366C">
                <w:rPr>
                  <w:rFonts w:asciiTheme="minorHAnsi" w:hAnsiTheme="minorHAnsi"/>
                  <w:lang w:val="en-US"/>
                </w:rPr>
                <w:t>Policy</w:t>
              </w:r>
              <w:proofErr w:type="gramEnd"/>
              <w:r w:rsidRPr="0001366C">
                <w:rPr>
                  <w:rFonts w:asciiTheme="minorHAnsi" w:hAnsiTheme="minorHAnsi"/>
                  <w:lang w:val="en-US"/>
                </w:rPr>
                <w:t xml:space="preserve"> and Law, 13(1): 50–67.</w:t>
              </w:r>
            </w:p>
            <w:p w14:paraId="51B09889" w14:textId="586F917D" w:rsidR="007D4EFF" w:rsidRPr="0001366C" w:rsidRDefault="007D4EFF" w:rsidP="007D4EFF">
              <w:pPr>
                <w:ind w:left="284" w:hanging="284"/>
                <w:jc w:val="both"/>
                <w:rPr>
                  <w:rFonts w:asciiTheme="minorHAnsi" w:hAnsiTheme="minorHAnsi"/>
                  <w:lang w:val="en-US"/>
                </w:rPr>
              </w:pPr>
              <w:proofErr w:type="spellStart"/>
              <w:r w:rsidRPr="00693C62">
                <w:rPr>
                  <w:rFonts w:asciiTheme="minorHAnsi" w:hAnsiTheme="minorHAnsi"/>
                  <w:lang w:val="en-US"/>
                </w:rPr>
                <w:t>Heimeshoff</w:t>
              </w:r>
              <w:proofErr w:type="spellEnd"/>
              <w:r w:rsidRPr="00693C62">
                <w:rPr>
                  <w:rFonts w:asciiTheme="minorHAnsi" w:hAnsiTheme="minorHAnsi"/>
                  <w:lang w:val="en-US"/>
                </w:rPr>
                <w:t xml:space="preserve">, Mareike, Jonas </w:t>
              </w:r>
              <w:proofErr w:type="spellStart"/>
              <w:r w:rsidRPr="00693C62">
                <w:rPr>
                  <w:rFonts w:asciiTheme="minorHAnsi" w:hAnsiTheme="minorHAnsi"/>
                  <w:lang w:val="en-US"/>
                </w:rPr>
                <w:t>Schreyögg</w:t>
              </w:r>
              <w:proofErr w:type="spellEnd"/>
              <w:r w:rsidRPr="00693C62">
                <w:rPr>
                  <w:rFonts w:asciiTheme="minorHAnsi" w:hAnsiTheme="minorHAnsi"/>
                  <w:lang w:val="en-US"/>
                </w:rPr>
                <w:t xml:space="preserve"> </w:t>
              </w:r>
              <w:proofErr w:type="spellStart"/>
              <w:r w:rsidRPr="00693C62">
                <w:rPr>
                  <w:rFonts w:asciiTheme="minorHAnsi" w:hAnsiTheme="minorHAnsi"/>
                  <w:lang w:val="en-US"/>
                </w:rPr>
                <w:t>och</w:t>
              </w:r>
              <w:proofErr w:type="spellEnd"/>
              <w:r w:rsidRPr="00693C62">
                <w:rPr>
                  <w:rFonts w:asciiTheme="minorHAnsi" w:hAnsiTheme="minorHAnsi"/>
                  <w:lang w:val="en-US"/>
                </w:rPr>
                <w:t xml:space="preserve"> Oliver Tiemann. </w:t>
              </w:r>
              <w:proofErr w:type="gramStart"/>
              <w:r w:rsidRPr="006E5F93">
                <w:rPr>
                  <w:rFonts w:asciiTheme="minorHAnsi" w:hAnsiTheme="minorHAnsi"/>
                  <w:lang w:val="en-US"/>
                </w:rPr>
                <w:t>2024. ”Employment</w:t>
              </w:r>
              <w:proofErr w:type="gramEnd"/>
              <w:r w:rsidRPr="006E5F93">
                <w:rPr>
                  <w:rFonts w:asciiTheme="minorHAnsi" w:hAnsiTheme="minorHAnsi"/>
                  <w:lang w:val="en-US"/>
                </w:rPr>
                <w:t xml:space="preserve"> effects of hospital privatization in Germany.” European Journal of Health Economics 15, 747–757. </w:t>
              </w:r>
            </w:p>
            <w:p w14:paraId="6A2630A9" w14:textId="0AA67856" w:rsidR="00933B65" w:rsidRPr="0001366C" w:rsidRDefault="00933B65" w:rsidP="00933B65">
              <w:pPr>
                <w:ind w:left="284" w:hanging="284"/>
                <w:jc w:val="both"/>
                <w:rPr>
                  <w:rFonts w:asciiTheme="minorHAnsi" w:hAnsiTheme="minorHAnsi"/>
                  <w:lang w:val="en-US"/>
                </w:rPr>
              </w:pPr>
              <w:r w:rsidRPr="0001366C">
                <w:rPr>
                  <w:rFonts w:asciiTheme="minorHAnsi" w:hAnsiTheme="minorHAnsi"/>
                  <w:lang w:val="en-US"/>
                </w:rPr>
                <w:t xml:space="preserve">Herrera CA, Rada G, Kuhn-Barrientos L, Barrios X., 2014. </w:t>
              </w:r>
              <w:proofErr w:type="gramStart"/>
              <w:r w:rsidR="00DB0E6D" w:rsidRPr="0001366C">
                <w:rPr>
                  <w:rFonts w:asciiTheme="minorHAnsi" w:hAnsiTheme="minorHAnsi"/>
                  <w:lang w:val="en-US"/>
                </w:rPr>
                <w:t>”</w:t>
              </w:r>
              <w:r w:rsidRPr="0001366C">
                <w:rPr>
                  <w:rFonts w:asciiTheme="minorHAnsi" w:hAnsiTheme="minorHAnsi"/>
                  <w:lang w:val="en-US"/>
                </w:rPr>
                <w:t>Does</w:t>
              </w:r>
              <w:proofErr w:type="gramEnd"/>
              <w:r w:rsidRPr="0001366C">
                <w:rPr>
                  <w:rFonts w:asciiTheme="minorHAnsi" w:hAnsiTheme="minorHAnsi"/>
                  <w:lang w:val="en-US"/>
                </w:rPr>
                <w:t xml:space="preserve"> ownership matter? An overview of systematic reviews of the performance of private for-profit, private not-for-profit and public healthcare providers.</w:t>
              </w:r>
              <w:r w:rsidR="00DB0E6D" w:rsidRPr="0001366C">
                <w:rPr>
                  <w:rFonts w:asciiTheme="minorHAnsi" w:hAnsiTheme="minorHAnsi"/>
                  <w:lang w:val="en-US"/>
                </w:rPr>
                <w:t>”</w:t>
              </w:r>
              <w:r w:rsidRPr="0001366C">
                <w:rPr>
                  <w:rFonts w:asciiTheme="minorHAnsi" w:hAnsiTheme="minorHAnsi"/>
                  <w:lang w:val="en-US"/>
                </w:rPr>
                <w:t xml:space="preserve"> </w:t>
              </w:r>
              <w:proofErr w:type="spellStart"/>
              <w:r w:rsidRPr="0001366C">
                <w:rPr>
                  <w:rFonts w:asciiTheme="minorHAnsi" w:hAnsiTheme="minorHAnsi"/>
                  <w:lang w:val="en-US"/>
                </w:rPr>
                <w:t>PLoS</w:t>
              </w:r>
              <w:proofErr w:type="spellEnd"/>
              <w:r w:rsidRPr="0001366C">
                <w:rPr>
                  <w:rFonts w:asciiTheme="minorHAnsi" w:hAnsiTheme="minorHAnsi"/>
                  <w:lang w:val="en-US"/>
                </w:rPr>
                <w:t xml:space="preserve"> One. 2014 Dec 1;9(12</w:t>
              </w:r>
              <w:proofErr w:type="gramStart"/>
              <w:r w:rsidRPr="0001366C">
                <w:rPr>
                  <w:rFonts w:asciiTheme="minorHAnsi" w:hAnsiTheme="minorHAnsi"/>
                  <w:lang w:val="en-US"/>
                </w:rPr>
                <w:t>):e</w:t>
              </w:r>
              <w:proofErr w:type="gramEnd"/>
              <w:r w:rsidRPr="0001366C">
                <w:rPr>
                  <w:rFonts w:asciiTheme="minorHAnsi" w:hAnsiTheme="minorHAnsi"/>
                  <w:lang w:val="en-US"/>
                </w:rPr>
                <w:t xml:space="preserve">93456. </w:t>
              </w:r>
              <w:proofErr w:type="spellStart"/>
              <w:r w:rsidRPr="0001366C">
                <w:rPr>
                  <w:rFonts w:asciiTheme="minorHAnsi" w:hAnsiTheme="minorHAnsi"/>
                  <w:lang w:val="en-US"/>
                </w:rPr>
                <w:t>doi</w:t>
              </w:r>
              <w:proofErr w:type="spellEnd"/>
              <w:r w:rsidRPr="0001366C">
                <w:rPr>
                  <w:rFonts w:asciiTheme="minorHAnsi" w:hAnsiTheme="minorHAnsi"/>
                  <w:lang w:val="en-US"/>
                </w:rPr>
                <w:t>: 10.1371/journal.pone.0093456</w:t>
              </w:r>
            </w:p>
            <w:p w14:paraId="2F9001B2" w14:textId="18C89B29" w:rsidR="00933B65" w:rsidRDefault="00933B65" w:rsidP="00933B65">
              <w:pPr>
                <w:ind w:left="284" w:hanging="284"/>
                <w:jc w:val="both"/>
                <w:rPr>
                  <w:rFonts w:asciiTheme="minorHAnsi" w:hAnsiTheme="minorHAnsi"/>
                  <w:lang w:val="sv-SE"/>
                </w:rPr>
              </w:pPr>
              <w:r w:rsidRPr="0001366C">
                <w:rPr>
                  <w:rFonts w:asciiTheme="minorHAnsi" w:hAnsiTheme="minorHAnsi"/>
                  <w:lang w:val="en-US"/>
                </w:rPr>
                <w:t xml:space="preserve">Holom, G.H., Hagen, T. P., 2017. </w:t>
              </w:r>
              <w:proofErr w:type="gramStart"/>
              <w:r w:rsidR="00DB0E6D" w:rsidRPr="0001366C">
                <w:rPr>
                  <w:rFonts w:asciiTheme="minorHAnsi" w:hAnsiTheme="minorHAnsi"/>
                  <w:lang w:val="en-US"/>
                </w:rPr>
                <w:t>”</w:t>
              </w:r>
              <w:r w:rsidRPr="0001366C">
                <w:rPr>
                  <w:rFonts w:asciiTheme="minorHAnsi" w:hAnsiTheme="minorHAnsi"/>
                  <w:lang w:val="en-US"/>
                </w:rPr>
                <w:t>Quality</w:t>
              </w:r>
              <w:proofErr w:type="gramEnd"/>
              <w:r w:rsidRPr="0001366C">
                <w:rPr>
                  <w:rFonts w:asciiTheme="minorHAnsi" w:hAnsiTheme="minorHAnsi"/>
                  <w:lang w:val="en-US"/>
                </w:rPr>
                <w:t xml:space="preserve"> differences between private for-profit, private non-profit and public hospitals in Norway: A retrospective national register-based study of acute readmission rates following total hip and knee arthroplasties.</w:t>
              </w:r>
              <w:r w:rsidR="00DB0E6D" w:rsidRPr="0001366C">
                <w:rPr>
                  <w:rFonts w:asciiTheme="minorHAnsi" w:hAnsiTheme="minorHAnsi"/>
                  <w:lang w:val="en-US"/>
                </w:rPr>
                <w:t>”</w:t>
              </w:r>
              <w:r w:rsidRPr="0001366C">
                <w:rPr>
                  <w:rFonts w:asciiTheme="minorHAnsi" w:hAnsiTheme="minorHAnsi"/>
                  <w:lang w:val="en-US"/>
                </w:rPr>
                <w:t xml:space="preserve"> </w:t>
              </w:r>
              <w:r w:rsidRPr="00933B65">
                <w:rPr>
                  <w:rFonts w:asciiTheme="minorHAnsi" w:hAnsiTheme="minorHAnsi"/>
                  <w:lang w:val="sv-SE"/>
                </w:rPr>
                <w:t xml:space="preserve">BMJ </w:t>
              </w:r>
              <w:proofErr w:type="spellStart"/>
              <w:r w:rsidRPr="00933B65">
                <w:rPr>
                  <w:rFonts w:asciiTheme="minorHAnsi" w:hAnsiTheme="minorHAnsi"/>
                  <w:lang w:val="sv-SE"/>
                </w:rPr>
                <w:t>Open</w:t>
              </w:r>
              <w:proofErr w:type="spellEnd"/>
              <w:r w:rsidRPr="00933B65">
                <w:rPr>
                  <w:rFonts w:asciiTheme="minorHAnsi" w:hAnsiTheme="minorHAnsi"/>
                  <w:lang w:val="sv-SE"/>
                </w:rPr>
                <w:t>, 7 (8).</w:t>
              </w:r>
            </w:p>
            <w:p w14:paraId="36F6C3B5" w14:textId="76C2969E" w:rsidR="00280BFB" w:rsidRDefault="00280BFB" w:rsidP="00280BFB">
              <w:pPr>
                <w:ind w:left="284" w:hanging="284"/>
                <w:jc w:val="both"/>
                <w:rPr>
                  <w:rFonts w:asciiTheme="minorHAnsi" w:hAnsiTheme="minorHAnsi"/>
                  <w:lang w:val="sv-SE"/>
                </w:rPr>
              </w:pPr>
              <w:r>
                <w:rPr>
                  <w:rFonts w:asciiTheme="minorHAnsi" w:hAnsiTheme="minorHAnsi"/>
                  <w:lang w:val="sv-SE"/>
                </w:rPr>
                <w:t>HSN</w:t>
              </w:r>
              <w:r w:rsidRPr="003643D7">
                <w:rPr>
                  <w:lang w:val="sv-SE"/>
                </w:rPr>
                <w:t xml:space="preserve"> </w:t>
              </w:r>
              <w:proofErr w:type="gramStart"/>
              <w:r w:rsidRPr="00280BFB">
                <w:rPr>
                  <w:rFonts w:asciiTheme="minorHAnsi" w:hAnsiTheme="minorHAnsi"/>
                  <w:lang w:val="sv-SE"/>
                </w:rPr>
                <w:t>2022-0525</w:t>
              </w:r>
              <w:proofErr w:type="gramEnd"/>
              <w:r w:rsidRPr="009E4A8A">
                <w:rPr>
                  <w:rFonts w:asciiTheme="minorHAnsi" w:hAnsiTheme="minorHAnsi"/>
                  <w:lang w:val="sv-SE"/>
                </w:rPr>
                <w:t xml:space="preserve">. </w:t>
              </w:r>
              <w:r w:rsidRPr="00280BFB">
                <w:rPr>
                  <w:rFonts w:asciiTheme="minorHAnsi" w:hAnsiTheme="minorHAnsi"/>
                  <w:lang w:val="sv-SE"/>
                </w:rPr>
                <w:t>Utredning av beställningsform - Vårdval Specialiserad</w:t>
              </w:r>
              <w:r>
                <w:rPr>
                  <w:rFonts w:asciiTheme="minorHAnsi" w:hAnsiTheme="minorHAnsi"/>
                  <w:lang w:val="sv-SE"/>
                </w:rPr>
                <w:t xml:space="preserve"> </w:t>
              </w:r>
              <w:r w:rsidRPr="00280BFB">
                <w:rPr>
                  <w:rFonts w:asciiTheme="minorHAnsi" w:hAnsiTheme="minorHAnsi"/>
                  <w:lang w:val="sv-SE"/>
                </w:rPr>
                <w:t>rehabilitering vid långvarig smärta och vid</w:t>
              </w:r>
              <w:r>
                <w:rPr>
                  <w:rFonts w:asciiTheme="minorHAnsi" w:hAnsiTheme="minorHAnsi"/>
                  <w:lang w:val="sv-SE"/>
                </w:rPr>
                <w:t xml:space="preserve"> </w:t>
              </w:r>
              <w:r w:rsidRPr="00280BFB">
                <w:rPr>
                  <w:rFonts w:asciiTheme="minorHAnsi" w:hAnsiTheme="minorHAnsi"/>
                  <w:lang w:val="sv-SE"/>
                </w:rPr>
                <w:t>utmattningssyndrom samt tilläggsuppdrag</w:t>
              </w:r>
              <w:r>
                <w:rPr>
                  <w:rFonts w:asciiTheme="minorHAnsi" w:hAnsiTheme="minorHAnsi"/>
                  <w:lang w:val="sv-SE"/>
                </w:rPr>
                <w:t xml:space="preserve"> </w:t>
              </w:r>
              <w:r w:rsidRPr="00280BFB">
                <w:rPr>
                  <w:rFonts w:asciiTheme="minorHAnsi" w:hAnsiTheme="minorHAnsi"/>
                  <w:lang w:val="sv-SE"/>
                </w:rPr>
                <w:t>Specialistläkarmottagning vid ME/CFS</w:t>
              </w:r>
              <w:r w:rsidRPr="009E4A8A">
                <w:rPr>
                  <w:rFonts w:asciiTheme="minorHAnsi" w:hAnsiTheme="minorHAnsi"/>
                  <w:lang w:val="sv-SE"/>
                </w:rPr>
                <w:t>.</w:t>
              </w:r>
              <w:r>
                <w:rPr>
                  <w:rFonts w:asciiTheme="minorHAnsi" w:hAnsiTheme="minorHAnsi"/>
                  <w:lang w:val="sv-SE"/>
                </w:rPr>
                <w:t>” Tjänsteutlåtande.</w:t>
              </w:r>
            </w:p>
            <w:p w14:paraId="55E0E07D" w14:textId="04CC3B45" w:rsidR="00E920A2" w:rsidRDefault="00E920A2" w:rsidP="00E920A2">
              <w:pPr>
                <w:ind w:left="284" w:hanging="284"/>
                <w:jc w:val="both"/>
                <w:rPr>
                  <w:rFonts w:asciiTheme="minorHAnsi" w:hAnsiTheme="minorHAnsi"/>
                  <w:lang w:val="sv-SE"/>
                </w:rPr>
              </w:pPr>
              <w:r>
                <w:rPr>
                  <w:rFonts w:asciiTheme="minorHAnsi" w:hAnsiTheme="minorHAnsi"/>
                  <w:lang w:val="sv-SE"/>
                </w:rPr>
                <w:t>HSN</w:t>
              </w:r>
              <w:r w:rsidRPr="003643D7">
                <w:rPr>
                  <w:lang w:val="sv-SE"/>
                </w:rPr>
                <w:t xml:space="preserve"> </w:t>
              </w:r>
              <w:proofErr w:type="gramStart"/>
              <w:r w:rsidRPr="00280BFB">
                <w:rPr>
                  <w:rFonts w:asciiTheme="minorHAnsi" w:hAnsiTheme="minorHAnsi"/>
                  <w:lang w:val="sv-SE"/>
                </w:rPr>
                <w:t>2022-</w:t>
              </w:r>
              <w:r>
                <w:rPr>
                  <w:rFonts w:asciiTheme="minorHAnsi" w:hAnsiTheme="minorHAnsi"/>
                  <w:lang w:val="sv-SE"/>
                </w:rPr>
                <w:t>0764</w:t>
              </w:r>
              <w:proofErr w:type="gramEnd"/>
              <w:r w:rsidRPr="009E4A8A">
                <w:rPr>
                  <w:rFonts w:asciiTheme="minorHAnsi" w:hAnsiTheme="minorHAnsi"/>
                  <w:lang w:val="sv-SE"/>
                </w:rPr>
                <w:t xml:space="preserve">. </w:t>
              </w:r>
              <w:r>
                <w:rPr>
                  <w:rFonts w:asciiTheme="minorHAnsi" w:hAnsiTheme="minorHAnsi"/>
                  <w:lang w:val="sv-SE"/>
                </w:rPr>
                <w:t>”</w:t>
              </w:r>
              <w:r w:rsidRPr="00E920A2">
                <w:rPr>
                  <w:rFonts w:asciiTheme="minorHAnsi" w:hAnsiTheme="minorHAnsi"/>
                  <w:lang w:val="sv-SE"/>
                </w:rPr>
                <w:t>Ögonsjukvården i</w:t>
              </w:r>
              <w:r>
                <w:rPr>
                  <w:rFonts w:asciiTheme="minorHAnsi" w:hAnsiTheme="minorHAnsi"/>
                  <w:lang w:val="sv-SE"/>
                </w:rPr>
                <w:t xml:space="preserve"> </w:t>
              </w:r>
              <w:r w:rsidRPr="00E920A2">
                <w:rPr>
                  <w:rFonts w:asciiTheme="minorHAnsi" w:hAnsiTheme="minorHAnsi"/>
                  <w:lang w:val="sv-SE"/>
                </w:rPr>
                <w:t>Region Stockholm</w:t>
              </w:r>
              <w:r w:rsidRPr="009E4A8A">
                <w:rPr>
                  <w:rFonts w:asciiTheme="minorHAnsi" w:hAnsiTheme="minorHAnsi"/>
                  <w:lang w:val="sv-SE"/>
                </w:rPr>
                <w:t>.</w:t>
              </w:r>
              <w:r>
                <w:rPr>
                  <w:rFonts w:asciiTheme="minorHAnsi" w:hAnsiTheme="minorHAnsi"/>
                  <w:lang w:val="sv-SE"/>
                </w:rPr>
                <w:t>” Rapport.</w:t>
              </w:r>
            </w:p>
            <w:p w14:paraId="311417AF" w14:textId="246003A7" w:rsidR="009B7F5E" w:rsidRDefault="009B7F5E" w:rsidP="009B7F5E">
              <w:pPr>
                <w:ind w:left="284" w:hanging="284"/>
                <w:jc w:val="both"/>
                <w:rPr>
                  <w:rFonts w:asciiTheme="minorHAnsi" w:hAnsiTheme="minorHAnsi"/>
                  <w:lang w:val="sv-SE"/>
                </w:rPr>
              </w:pPr>
              <w:r>
                <w:rPr>
                  <w:rFonts w:asciiTheme="minorHAnsi" w:hAnsiTheme="minorHAnsi"/>
                  <w:lang w:val="sv-SE"/>
                </w:rPr>
                <w:t>HSN</w:t>
              </w:r>
              <w:r w:rsidRPr="003643D7">
                <w:rPr>
                  <w:lang w:val="sv-SE"/>
                </w:rPr>
                <w:t xml:space="preserve"> </w:t>
              </w:r>
              <w:proofErr w:type="gramStart"/>
              <w:r w:rsidRPr="009B7F5E">
                <w:rPr>
                  <w:rFonts w:asciiTheme="minorHAnsi" w:hAnsiTheme="minorHAnsi"/>
                  <w:lang w:val="sv-SE"/>
                </w:rPr>
                <w:t>2023-009</w:t>
              </w:r>
              <w:r>
                <w:rPr>
                  <w:rFonts w:asciiTheme="minorHAnsi" w:hAnsiTheme="minorHAnsi"/>
                  <w:lang w:val="sv-SE"/>
                </w:rPr>
                <w:t>7</w:t>
              </w:r>
              <w:proofErr w:type="gramEnd"/>
              <w:r w:rsidRPr="009E4A8A">
                <w:rPr>
                  <w:rFonts w:asciiTheme="minorHAnsi" w:hAnsiTheme="minorHAnsi"/>
                  <w:lang w:val="sv-SE"/>
                </w:rPr>
                <w:t>. “</w:t>
              </w:r>
              <w:r>
                <w:rPr>
                  <w:rFonts w:asciiTheme="minorHAnsi" w:hAnsiTheme="minorHAnsi"/>
                  <w:lang w:val="sv-SE"/>
                </w:rPr>
                <w:t>Omställningsplan vårdval 2023</w:t>
              </w:r>
              <w:r w:rsidRPr="009E4A8A">
                <w:rPr>
                  <w:rFonts w:asciiTheme="minorHAnsi" w:hAnsiTheme="minorHAnsi"/>
                  <w:lang w:val="sv-SE"/>
                </w:rPr>
                <w:t>.</w:t>
              </w:r>
              <w:r>
                <w:rPr>
                  <w:rFonts w:asciiTheme="minorHAnsi" w:hAnsiTheme="minorHAnsi"/>
                  <w:lang w:val="sv-SE"/>
                </w:rPr>
                <w:t>” Tjänsteutlåtande.</w:t>
              </w:r>
            </w:p>
            <w:p w14:paraId="68F97170" w14:textId="517CFC07" w:rsidR="008E08D9" w:rsidRDefault="008E08D9" w:rsidP="008E08D9">
              <w:pPr>
                <w:ind w:left="284" w:hanging="284"/>
                <w:jc w:val="both"/>
                <w:rPr>
                  <w:rFonts w:asciiTheme="minorHAnsi" w:hAnsiTheme="minorHAnsi"/>
                  <w:lang w:val="sv-SE"/>
                </w:rPr>
              </w:pPr>
              <w:r>
                <w:rPr>
                  <w:rFonts w:asciiTheme="minorHAnsi" w:hAnsiTheme="minorHAnsi"/>
                  <w:lang w:val="sv-SE"/>
                </w:rPr>
                <w:t xml:space="preserve">HSN </w:t>
              </w:r>
              <w:proofErr w:type="gramStart"/>
              <w:r>
                <w:rPr>
                  <w:rFonts w:asciiTheme="minorHAnsi" w:hAnsiTheme="minorHAnsi"/>
                  <w:lang w:val="sv-SE"/>
                </w:rPr>
                <w:t>2023-0225</w:t>
              </w:r>
              <w:proofErr w:type="gramEnd"/>
              <w:r w:rsidRPr="009E4A8A">
                <w:rPr>
                  <w:rFonts w:asciiTheme="minorHAnsi" w:hAnsiTheme="minorHAnsi"/>
                  <w:lang w:val="sv-SE"/>
                </w:rPr>
                <w:t>. “</w:t>
              </w:r>
              <w:r w:rsidRPr="008E08D9">
                <w:rPr>
                  <w:rFonts w:asciiTheme="minorHAnsi" w:hAnsiTheme="minorHAnsi"/>
                  <w:lang w:val="sv-SE"/>
                </w:rPr>
                <w:t>Beslut om att organisera Prehospital läkartjänst i egen</w:t>
              </w:r>
              <w:r>
                <w:rPr>
                  <w:rFonts w:asciiTheme="minorHAnsi" w:hAnsiTheme="minorHAnsi"/>
                  <w:lang w:val="sv-SE"/>
                </w:rPr>
                <w:t xml:space="preserve"> </w:t>
              </w:r>
              <w:r w:rsidRPr="008E08D9">
                <w:rPr>
                  <w:rFonts w:asciiTheme="minorHAnsi" w:hAnsiTheme="minorHAnsi"/>
                  <w:lang w:val="sv-SE"/>
                </w:rPr>
                <w:t>regi</w:t>
              </w:r>
              <w:r w:rsidRPr="009E4A8A">
                <w:rPr>
                  <w:rFonts w:asciiTheme="minorHAnsi" w:hAnsiTheme="minorHAnsi"/>
                  <w:lang w:val="sv-SE"/>
                </w:rPr>
                <w:t>.</w:t>
              </w:r>
              <w:r>
                <w:rPr>
                  <w:rFonts w:asciiTheme="minorHAnsi" w:hAnsiTheme="minorHAnsi"/>
                  <w:lang w:val="sv-SE"/>
                </w:rPr>
                <w:t>” Tjänsteutlåtande.</w:t>
              </w:r>
            </w:p>
            <w:p w14:paraId="228E656F" w14:textId="237D587A" w:rsidR="008E08D9" w:rsidRDefault="008E08D9" w:rsidP="008E08D9">
              <w:pPr>
                <w:ind w:left="284" w:hanging="284"/>
                <w:jc w:val="both"/>
                <w:rPr>
                  <w:rFonts w:asciiTheme="minorHAnsi" w:hAnsiTheme="minorHAnsi"/>
                  <w:lang w:val="sv-SE"/>
                </w:rPr>
              </w:pPr>
              <w:r>
                <w:rPr>
                  <w:rFonts w:asciiTheme="minorHAnsi" w:hAnsiTheme="minorHAnsi"/>
                  <w:lang w:val="sv-SE"/>
                </w:rPr>
                <w:t xml:space="preserve">HSN </w:t>
              </w:r>
              <w:proofErr w:type="gramStart"/>
              <w:r>
                <w:rPr>
                  <w:rFonts w:asciiTheme="minorHAnsi" w:hAnsiTheme="minorHAnsi"/>
                  <w:lang w:val="sv-SE"/>
                </w:rPr>
                <w:t>2023-0665</w:t>
              </w:r>
              <w:proofErr w:type="gramEnd"/>
              <w:r w:rsidRPr="009E4A8A">
                <w:rPr>
                  <w:rFonts w:asciiTheme="minorHAnsi" w:hAnsiTheme="minorHAnsi"/>
                  <w:lang w:val="sv-SE"/>
                </w:rPr>
                <w:t>. “</w:t>
              </w:r>
              <w:r w:rsidRPr="008E08D9">
                <w:rPr>
                  <w:rFonts w:asciiTheme="minorHAnsi" w:hAnsiTheme="minorHAnsi"/>
                  <w:lang w:val="sv-SE"/>
                </w:rPr>
                <w:t xml:space="preserve">Beslut om att organisera tjänsten </w:t>
              </w:r>
              <w:proofErr w:type="spellStart"/>
              <w:r w:rsidRPr="008E08D9">
                <w:rPr>
                  <w:rFonts w:asciiTheme="minorHAnsi" w:hAnsiTheme="minorHAnsi"/>
                  <w:lang w:val="sv-SE"/>
                </w:rPr>
                <w:t>vägburen</w:t>
              </w:r>
              <w:proofErr w:type="spellEnd"/>
              <w:r w:rsidR="00485A0B">
                <w:rPr>
                  <w:rFonts w:asciiTheme="minorHAnsi" w:hAnsiTheme="minorHAnsi"/>
                  <w:lang w:val="sv-SE"/>
                </w:rPr>
                <w:t xml:space="preserve"> </w:t>
              </w:r>
              <w:r w:rsidRPr="008E08D9">
                <w:rPr>
                  <w:rFonts w:asciiTheme="minorHAnsi" w:hAnsiTheme="minorHAnsi"/>
                  <w:lang w:val="sv-SE"/>
                </w:rPr>
                <w:t>ambulanssjukvård i egen reg</w:t>
              </w:r>
              <w:r>
                <w:rPr>
                  <w:rFonts w:asciiTheme="minorHAnsi" w:hAnsiTheme="minorHAnsi"/>
                  <w:lang w:val="sv-SE"/>
                </w:rPr>
                <w:t>i</w:t>
              </w:r>
              <w:r w:rsidRPr="009E4A8A">
                <w:rPr>
                  <w:rFonts w:asciiTheme="minorHAnsi" w:hAnsiTheme="minorHAnsi"/>
                  <w:lang w:val="sv-SE"/>
                </w:rPr>
                <w:t>.</w:t>
              </w:r>
              <w:r>
                <w:rPr>
                  <w:rFonts w:asciiTheme="minorHAnsi" w:hAnsiTheme="minorHAnsi"/>
                  <w:lang w:val="sv-SE"/>
                </w:rPr>
                <w:t>” Tjänsteutlåtande.</w:t>
              </w:r>
            </w:p>
            <w:p w14:paraId="1248FCCD" w14:textId="77777777" w:rsidR="007067F0" w:rsidRDefault="007067F0" w:rsidP="007067F0">
              <w:pPr>
                <w:ind w:left="284" w:hanging="284"/>
                <w:jc w:val="both"/>
                <w:rPr>
                  <w:rFonts w:asciiTheme="minorHAnsi" w:hAnsiTheme="minorHAnsi"/>
                  <w:lang w:val="sv-SE"/>
                </w:rPr>
              </w:pPr>
              <w:r>
                <w:rPr>
                  <w:rFonts w:asciiTheme="minorHAnsi" w:hAnsiTheme="minorHAnsi"/>
                  <w:lang w:val="sv-SE"/>
                </w:rPr>
                <w:t xml:space="preserve">HSN </w:t>
              </w:r>
              <w:proofErr w:type="gramStart"/>
              <w:r>
                <w:rPr>
                  <w:rFonts w:asciiTheme="minorHAnsi" w:hAnsiTheme="minorHAnsi"/>
                  <w:lang w:val="sv-SE"/>
                </w:rPr>
                <w:t>2023-0937</w:t>
              </w:r>
              <w:proofErr w:type="gramEnd"/>
              <w:r w:rsidRPr="009E4A8A">
                <w:rPr>
                  <w:rFonts w:asciiTheme="minorHAnsi" w:hAnsiTheme="minorHAnsi"/>
                  <w:lang w:val="sv-SE"/>
                </w:rPr>
                <w:t>. “</w:t>
              </w:r>
              <w:r w:rsidRPr="008C76DE">
                <w:rPr>
                  <w:rFonts w:asciiTheme="minorHAnsi" w:hAnsiTheme="minorHAnsi"/>
                  <w:lang w:val="sv-SE"/>
                </w:rPr>
                <w:t>Förslag till avveckling av vårdval specialiserad</w:t>
              </w:r>
              <w:r>
                <w:rPr>
                  <w:rFonts w:asciiTheme="minorHAnsi" w:hAnsiTheme="minorHAnsi"/>
                  <w:lang w:val="sv-SE"/>
                </w:rPr>
                <w:t xml:space="preserve"> </w:t>
              </w:r>
              <w:r w:rsidRPr="008C76DE">
                <w:rPr>
                  <w:rFonts w:asciiTheme="minorHAnsi" w:hAnsiTheme="minorHAnsi"/>
                  <w:lang w:val="sv-SE"/>
                </w:rPr>
                <w:t>ögonsjukvård</w:t>
              </w:r>
              <w:r w:rsidRPr="009E4A8A">
                <w:rPr>
                  <w:rFonts w:asciiTheme="minorHAnsi" w:hAnsiTheme="minorHAnsi"/>
                  <w:lang w:val="sv-SE"/>
                </w:rPr>
                <w:t>.</w:t>
              </w:r>
              <w:r>
                <w:rPr>
                  <w:rFonts w:asciiTheme="minorHAnsi" w:hAnsiTheme="minorHAnsi"/>
                  <w:lang w:val="sv-SE"/>
                </w:rPr>
                <w:t>” Tjänsteutlåtande.</w:t>
              </w:r>
            </w:p>
            <w:p w14:paraId="151707D6" w14:textId="77777777" w:rsidR="007067F0" w:rsidRDefault="007067F0" w:rsidP="007067F0">
              <w:pPr>
                <w:ind w:left="284" w:hanging="284"/>
                <w:jc w:val="both"/>
                <w:rPr>
                  <w:rFonts w:asciiTheme="minorHAnsi" w:hAnsiTheme="minorHAnsi"/>
                  <w:lang w:val="sv-SE"/>
                </w:rPr>
              </w:pPr>
              <w:r>
                <w:rPr>
                  <w:rFonts w:asciiTheme="minorHAnsi" w:hAnsiTheme="minorHAnsi"/>
                  <w:lang w:val="sv-SE"/>
                </w:rPr>
                <w:t xml:space="preserve">HSN </w:t>
              </w:r>
              <w:proofErr w:type="gramStart"/>
              <w:r>
                <w:rPr>
                  <w:rFonts w:asciiTheme="minorHAnsi" w:hAnsiTheme="minorHAnsi"/>
                  <w:lang w:val="sv-SE"/>
                </w:rPr>
                <w:t>2023-0938</w:t>
              </w:r>
              <w:proofErr w:type="gramEnd"/>
              <w:r w:rsidRPr="009E4A8A">
                <w:rPr>
                  <w:rFonts w:asciiTheme="minorHAnsi" w:hAnsiTheme="minorHAnsi"/>
                  <w:lang w:val="sv-SE"/>
                </w:rPr>
                <w:t>. “</w:t>
              </w:r>
              <w:r w:rsidRPr="008C76DE">
                <w:rPr>
                  <w:rFonts w:asciiTheme="minorHAnsi" w:hAnsiTheme="minorHAnsi"/>
                  <w:lang w:val="sv-SE"/>
                </w:rPr>
                <w:t>Förslag att upphandla tjänster inom öppen</w:t>
              </w:r>
              <w:r>
                <w:rPr>
                  <w:rFonts w:asciiTheme="minorHAnsi" w:hAnsiTheme="minorHAnsi"/>
                  <w:lang w:val="sv-SE"/>
                </w:rPr>
                <w:t xml:space="preserve"> </w:t>
              </w:r>
              <w:r w:rsidRPr="008C76DE">
                <w:rPr>
                  <w:rFonts w:asciiTheme="minorHAnsi" w:hAnsiTheme="minorHAnsi"/>
                  <w:lang w:val="sv-SE"/>
                </w:rPr>
                <w:t>specialiserad ögonsjukvård</w:t>
              </w:r>
              <w:r>
                <w:rPr>
                  <w:rFonts w:asciiTheme="minorHAnsi" w:hAnsiTheme="minorHAnsi"/>
                  <w:lang w:val="sv-SE"/>
                </w:rPr>
                <w:t>.” Tjänsteutlåtande.</w:t>
              </w:r>
            </w:p>
            <w:p w14:paraId="10D9618C" w14:textId="58DA885D" w:rsidR="007067F0" w:rsidRDefault="007067F0" w:rsidP="007067F0">
              <w:pPr>
                <w:ind w:left="284" w:hanging="284"/>
                <w:jc w:val="both"/>
                <w:rPr>
                  <w:rFonts w:asciiTheme="minorHAnsi" w:hAnsiTheme="minorHAnsi"/>
                  <w:lang w:val="sv-SE"/>
                </w:rPr>
              </w:pPr>
              <w:r>
                <w:rPr>
                  <w:rFonts w:asciiTheme="minorHAnsi" w:hAnsiTheme="minorHAnsi"/>
                  <w:lang w:val="sv-SE"/>
                </w:rPr>
                <w:t xml:space="preserve">HSN </w:t>
              </w:r>
              <w:proofErr w:type="gramStart"/>
              <w:r>
                <w:rPr>
                  <w:rFonts w:asciiTheme="minorHAnsi" w:hAnsiTheme="minorHAnsi"/>
                  <w:lang w:val="sv-SE"/>
                </w:rPr>
                <w:t>2023-0955</w:t>
              </w:r>
              <w:proofErr w:type="gramEnd"/>
              <w:r w:rsidRPr="009E4A8A">
                <w:rPr>
                  <w:rFonts w:asciiTheme="minorHAnsi" w:hAnsiTheme="minorHAnsi"/>
                  <w:lang w:val="sv-SE"/>
                </w:rPr>
                <w:t>. “</w:t>
              </w:r>
              <w:r w:rsidRPr="00E54175">
                <w:rPr>
                  <w:rFonts w:asciiTheme="minorHAnsi" w:hAnsiTheme="minorHAnsi"/>
                  <w:lang w:val="sv-SE"/>
                </w:rPr>
                <w:t>Förslag att avveckla vårdval specialiserad allergolog</w:t>
              </w:r>
              <w:r>
                <w:rPr>
                  <w:rFonts w:asciiTheme="minorHAnsi" w:hAnsiTheme="minorHAnsi"/>
                  <w:lang w:val="sv-SE"/>
                </w:rPr>
                <w:t>i</w:t>
              </w:r>
              <w:r w:rsidRPr="009E4A8A">
                <w:rPr>
                  <w:rFonts w:asciiTheme="minorHAnsi" w:hAnsiTheme="minorHAnsi"/>
                  <w:lang w:val="sv-SE"/>
                </w:rPr>
                <w:t>.</w:t>
              </w:r>
              <w:r>
                <w:rPr>
                  <w:rFonts w:asciiTheme="minorHAnsi" w:hAnsiTheme="minorHAnsi"/>
                  <w:lang w:val="sv-SE"/>
                </w:rPr>
                <w:t>” Tjänsteutlåtande.</w:t>
              </w:r>
            </w:p>
            <w:p w14:paraId="66BB56F5" w14:textId="15781AA5" w:rsidR="00D06D27" w:rsidRPr="001556D7" w:rsidRDefault="00D06D27" w:rsidP="00D06D27">
              <w:pPr>
                <w:ind w:left="284" w:hanging="284"/>
                <w:jc w:val="both"/>
                <w:rPr>
                  <w:rFonts w:asciiTheme="minorHAnsi" w:hAnsiTheme="minorHAnsi"/>
                  <w:lang w:val="en-US"/>
                </w:rPr>
              </w:pPr>
              <w:r w:rsidRPr="00CC31DA">
                <w:rPr>
                  <w:rFonts w:asciiTheme="minorHAnsi" w:hAnsiTheme="minorHAnsi"/>
                  <w:lang w:val="en-US"/>
                </w:rPr>
                <w:t xml:space="preserve">Kelly, Elaine och George Stoye. </w:t>
              </w:r>
              <w:proofErr w:type="gramStart"/>
              <w:r w:rsidRPr="001556D7">
                <w:rPr>
                  <w:rFonts w:asciiTheme="minorHAnsi" w:hAnsiTheme="minorHAnsi"/>
                  <w:lang w:val="en-US"/>
                </w:rPr>
                <w:t>2020. ”The</w:t>
              </w:r>
              <w:proofErr w:type="gramEnd"/>
              <w:r w:rsidRPr="001556D7">
                <w:rPr>
                  <w:rFonts w:asciiTheme="minorHAnsi" w:hAnsiTheme="minorHAnsi"/>
                  <w:lang w:val="en-US"/>
                </w:rPr>
                <w:t xml:space="preserve"> Quality and Efficiency of Public and Private Firms: Evidence from Ambulance Services.” The Quarterly Journal of Economics, 137 (4), 2213–2262.</w:t>
              </w:r>
            </w:p>
            <w:p w14:paraId="49375CCE" w14:textId="234DC456" w:rsidR="00933B65" w:rsidRPr="0001366C" w:rsidRDefault="00933B65" w:rsidP="008E08D9">
              <w:pPr>
                <w:ind w:left="284" w:hanging="284"/>
                <w:jc w:val="both"/>
                <w:rPr>
                  <w:rFonts w:asciiTheme="minorHAnsi" w:hAnsiTheme="minorHAnsi"/>
                  <w:lang w:val="en-US"/>
                </w:rPr>
              </w:pPr>
              <w:r w:rsidRPr="00CC31DA">
                <w:rPr>
                  <w:rFonts w:asciiTheme="minorHAnsi" w:hAnsiTheme="minorHAnsi"/>
                  <w:lang w:val="sv-SE"/>
                </w:rPr>
                <w:t xml:space="preserve">Knutsson, Daniel </w:t>
              </w:r>
              <w:r w:rsidR="00D06D27" w:rsidRPr="00CC31DA">
                <w:rPr>
                  <w:rFonts w:asciiTheme="minorHAnsi" w:hAnsiTheme="minorHAnsi"/>
                  <w:lang w:val="sv-SE"/>
                </w:rPr>
                <w:t>och</w:t>
              </w:r>
              <w:r w:rsidRPr="00CC31DA">
                <w:rPr>
                  <w:rFonts w:asciiTheme="minorHAnsi" w:hAnsiTheme="minorHAnsi"/>
                  <w:lang w:val="sv-SE"/>
                </w:rPr>
                <w:t xml:space="preserve"> Björn Tyrefors</w:t>
              </w:r>
              <w:r w:rsidR="00D06D27" w:rsidRPr="00CC31DA">
                <w:rPr>
                  <w:rFonts w:asciiTheme="minorHAnsi" w:hAnsiTheme="minorHAnsi"/>
                  <w:lang w:val="sv-SE"/>
                </w:rPr>
                <w:t xml:space="preserve">. </w:t>
              </w:r>
              <w:proofErr w:type="gramStart"/>
              <w:r w:rsidRPr="001556D7">
                <w:rPr>
                  <w:rFonts w:asciiTheme="minorHAnsi" w:hAnsiTheme="minorHAnsi"/>
                  <w:lang w:val="en-US"/>
                </w:rPr>
                <w:t xml:space="preserve">2022. </w:t>
              </w:r>
              <w:r w:rsidR="00DB0E6D" w:rsidRPr="001556D7">
                <w:rPr>
                  <w:rFonts w:asciiTheme="minorHAnsi" w:hAnsiTheme="minorHAnsi"/>
                  <w:lang w:val="en-US"/>
                </w:rPr>
                <w:t>”</w:t>
              </w:r>
              <w:r w:rsidRPr="001556D7">
                <w:rPr>
                  <w:rFonts w:asciiTheme="minorHAnsi" w:hAnsiTheme="minorHAnsi"/>
                  <w:lang w:val="en-US"/>
                </w:rPr>
                <w:t>The</w:t>
              </w:r>
              <w:proofErr w:type="gramEnd"/>
              <w:r w:rsidRPr="001556D7">
                <w:rPr>
                  <w:rFonts w:asciiTheme="minorHAnsi" w:hAnsiTheme="minorHAnsi"/>
                  <w:lang w:val="en-US"/>
                </w:rPr>
                <w:t xml:space="preserve"> Quality and Efficiency of Public and Private Firms: Evidence from Ambulance Services</w:t>
              </w:r>
              <w:r w:rsidR="00DB0E6D" w:rsidRPr="001556D7">
                <w:rPr>
                  <w:rFonts w:asciiTheme="minorHAnsi" w:hAnsiTheme="minorHAnsi"/>
                  <w:lang w:val="en-US"/>
                </w:rPr>
                <w:t>.”</w:t>
              </w:r>
              <w:r w:rsidRPr="001556D7">
                <w:rPr>
                  <w:rFonts w:asciiTheme="minorHAnsi" w:hAnsiTheme="minorHAnsi"/>
                  <w:lang w:val="en-US"/>
                </w:rPr>
                <w:t xml:space="preserve"> The Quarterly Journal of Economics, 137 (4), 2213–2262</w:t>
              </w:r>
              <w:r w:rsidR="00D06D27" w:rsidRPr="001556D7">
                <w:rPr>
                  <w:rFonts w:asciiTheme="minorHAnsi" w:hAnsiTheme="minorHAnsi"/>
                  <w:lang w:val="en-US"/>
                </w:rPr>
                <w:t>.</w:t>
              </w:r>
            </w:p>
            <w:p w14:paraId="45BD5C9A" w14:textId="64F7F2B8" w:rsidR="00933B65" w:rsidRPr="00693C62" w:rsidRDefault="00933B65" w:rsidP="00933B65">
              <w:pPr>
                <w:ind w:left="284" w:hanging="284"/>
                <w:jc w:val="both"/>
                <w:rPr>
                  <w:rFonts w:asciiTheme="minorHAnsi" w:hAnsiTheme="minorHAnsi"/>
                  <w:lang w:val="sv-SE"/>
                </w:rPr>
              </w:pPr>
              <w:r w:rsidRPr="0001366C">
                <w:rPr>
                  <w:rFonts w:asciiTheme="minorHAnsi" w:hAnsiTheme="minorHAnsi"/>
                  <w:lang w:val="en-US"/>
                </w:rPr>
                <w:t xml:space="preserve">Kruse FM, </w:t>
              </w:r>
              <w:proofErr w:type="spellStart"/>
              <w:r w:rsidRPr="0001366C">
                <w:rPr>
                  <w:rFonts w:asciiTheme="minorHAnsi" w:hAnsiTheme="minorHAnsi"/>
                  <w:lang w:val="en-US"/>
                </w:rPr>
                <w:t>Stadhouders</w:t>
              </w:r>
              <w:proofErr w:type="spellEnd"/>
              <w:r w:rsidRPr="0001366C">
                <w:rPr>
                  <w:rFonts w:asciiTheme="minorHAnsi" w:hAnsiTheme="minorHAnsi"/>
                  <w:lang w:val="en-US"/>
                </w:rPr>
                <w:t xml:space="preserve"> NW, </w:t>
              </w:r>
              <w:proofErr w:type="spellStart"/>
              <w:r w:rsidRPr="0001366C">
                <w:rPr>
                  <w:rFonts w:asciiTheme="minorHAnsi" w:hAnsiTheme="minorHAnsi"/>
                  <w:lang w:val="en-US"/>
                </w:rPr>
                <w:t>Adang</w:t>
              </w:r>
              <w:proofErr w:type="spellEnd"/>
              <w:r w:rsidRPr="0001366C">
                <w:rPr>
                  <w:rFonts w:asciiTheme="minorHAnsi" w:hAnsiTheme="minorHAnsi"/>
                  <w:lang w:val="en-US"/>
                </w:rPr>
                <w:t xml:space="preserve"> EM, Groenewoud S, Jeurissen PPT, 2018. </w:t>
              </w:r>
              <w:proofErr w:type="gramStart"/>
              <w:r w:rsidR="00DB0E6D" w:rsidRPr="0001366C">
                <w:rPr>
                  <w:rFonts w:asciiTheme="minorHAnsi" w:hAnsiTheme="minorHAnsi"/>
                  <w:lang w:val="en-US"/>
                </w:rPr>
                <w:t>”</w:t>
              </w:r>
              <w:r w:rsidRPr="0001366C">
                <w:rPr>
                  <w:rFonts w:asciiTheme="minorHAnsi" w:hAnsiTheme="minorHAnsi"/>
                  <w:lang w:val="en-US"/>
                </w:rPr>
                <w:t>Do</w:t>
              </w:r>
              <w:proofErr w:type="gramEnd"/>
              <w:r w:rsidRPr="0001366C">
                <w:rPr>
                  <w:rFonts w:asciiTheme="minorHAnsi" w:hAnsiTheme="minorHAnsi"/>
                  <w:lang w:val="en-US"/>
                </w:rPr>
                <w:t xml:space="preserve"> private hospitals outperform public hospitals regarding efficiency, accessibility, and quality of care in the European Union? A literature </w:t>
              </w:r>
              <w:proofErr w:type="gramStart"/>
              <w:r w:rsidRPr="0001366C">
                <w:rPr>
                  <w:rFonts w:asciiTheme="minorHAnsi" w:hAnsiTheme="minorHAnsi"/>
                  <w:lang w:val="en-US"/>
                </w:rPr>
                <w:t>review</w:t>
              </w:r>
              <w:proofErr w:type="gramEnd"/>
              <w:r w:rsidRPr="0001366C">
                <w:rPr>
                  <w:rFonts w:asciiTheme="minorHAnsi" w:hAnsiTheme="minorHAnsi"/>
                  <w:lang w:val="en-US"/>
                </w:rPr>
                <w:t>.</w:t>
              </w:r>
              <w:r w:rsidR="00DB0E6D" w:rsidRPr="0001366C">
                <w:rPr>
                  <w:rFonts w:asciiTheme="minorHAnsi" w:hAnsiTheme="minorHAnsi"/>
                  <w:lang w:val="en-US"/>
                </w:rPr>
                <w:t>”</w:t>
              </w:r>
              <w:r w:rsidRPr="0001366C">
                <w:rPr>
                  <w:rFonts w:asciiTheme="minorHAnsi" w:hAnsiTheme="minorHAnsi"/>
                  <w:lang w:val="en-US"/>
                </w:rPr>
                <w:t xml:space="preserve"> International Journal of Health Planning and Management, 2018;33: e434–e453. </w:t>
              </w:r>
              <w:hyperlink r:id="rId22" w:history="1">
                <w:r w:rsidR="006A3250" w:rsidRPr="00693C62">
                  <w:rPr>
                    <w:rStyle w:val="Hyperlnk"/>
                    <w:rFonts w:asciiTheme="minorHAnsi" w:hAnsiTheme="minorHAnsi"/>
                    <w:lang w:val="sv-SE"/>
                  </w:rPr>
                  <w:t>https://doi.org/10.1002/hpm.2502</w:t>
                </w:r>
              </w:hyperlink>
              <w:r w:rsidR="006A3250" w:rsidRPr="00693C62">
                <w:rPr>
                  <w:rFonts w:asciiTheme="minorHAnsi" w:hAnsiTheme="minorHAnsi"/>
                  <w:lang w:val="sv-SE"/>
                </w:rPr>
                <w:t>.</w:t>
              </w:r>
            </w:p>
            <w:p w14:paraId="419F40A4" w14:textId="60E6DEFA" w:rsidR="006A3250" w:rsidRPr="00693C62" w:rsidRDefault="006A3250" w:rsidP="006A3250">
              <w:pPr>
                <w:ind w:left="284" w:hanging="284"/>
                <w:jc w:val="both"/>
                <w:rPr>
                  <w:rFonts w:asciiTheme="minorHAnsi" w:hAnsiTheme="minorHAnsi"/>
                  <w:lang w:val="sv-SE"/>
                </w:rPr>
              </w:pPr>
              <w:proofErr w:type="spellStart"/>
              <w:r w:rsidRPr="00693C62">
                <w:rPr>
                  <w:rFonts w:asciiTheme="minorHAnsi" w:hAnsiTheme="minorHAnsi"/>
                  <w:lang w:val="sv-SE"/>
                </w:rPr>
                <w:t>Lanryd</w:t>
              </w:r>
              <w:proofErr w:type="spellEnd"/>
              <w:r w:rsidRPr="00693C62">
                <w:rPr>
                  <w:rFonts w:asciiTheme="minorHAnsi" w:hAnsiTheme="minorHAnsi"/>
                  <w:lang w:val="sv-SE"/>
                </w:rPr>
                <w:t xml:space="preserve">, Lovisa. 2024. </w:t>
              </w:r>
              <w:r w:rsidRPr="009E4A8A">
                <w:rPr>
                  <w:rFonts w:asciiTheme="minorHAnsi" w:hAnsiTheme="minorHAnsi"/>
                  <w:lang w:val="sv-SE"/>
                </w:rPr>
                <w:t>“</w:t>
              </w:r>
              <w:r>
                <w:rPr>
                  <w:rFonts w:asciiTheme="minorHAnsi" w:hAnsiTheme="minorHAnsi"/>
                  <w:lang w:val="sv-SE"/>
                </w:rPr>
                <w:t>Socialiseringsvågen i Stockholm – så försvinner din vård och frihet.</w:t>
              </w:r>
              <w:r w:rsidRPr="009E4A8A">
                <w:rPr>
                  <w:rFonts w:asciiTheme="minorHAnsi" w:hAnsiTheme="minorHAnsi"/>
                  <w:lang w:val="sv-SE"/>
                </w:rPr>
                <w:t xml:space="preserve">” </w:t>
              </w:r>
              <w:r w:rsidRPr="00693C62">
                <w:rPr>
                  <w:rFonts w:asciiTheme="minorHAnsi" w:hAnsiTheme="minorHAnsi"/>
                  <w:lang w:val="sv-SE"/>
                </w:rPr>
                <w:t>Rapport. Timbro.</w:t>
              </w:r>
            </w:p>
            <w:p w14:paraId="6D34E2C5" w14:textId="2C4D8D45" w:rsidR="0073675E" w:rsidRPr="001F77B1" w:rsidRDefault="0073675E" w:rsidP="0073675E">
              <w:pPr>
                <w:ind w:left="284" w:hanging="284"/>
                <w:jc w:val="both"/>
                <w:rPr>
                  <w:rFonts w:asciiTheme="minorHAnsi" w:hAnsiTheme="minorHAnsi"/>
                </w:rPr>
              </w:pPr>
              <w:r w:rsidRPr="009E4A8A">
                <w:rPr>
                  <w:rFonts w:asciiTheme="minorHAnsi" w:hAnsiTheme="minorHAnsi"/>
                  <w:lang w:val="sv-SE"/>
                </w:rPr>
                <w:t xml:space="preserve">Mellgren, Fredrik. 2022. “Genombrott för privat sjukvård”, Svenska Dagbladet, 15:e April. </w:t>
              </w:r>
              <w:hyperlink r:id="rId23" w:history="1">
                <w:r w:rsidRPr="001F77B1">
                  <w:rPr>
                    <w:rStyle w:val="Hyperlnk"/>
                    <w:rFonts w:asciiTheme="minorHAnsi" w:hAnsiTheme="minorHAnsi"/>
                  </w:rPr>
                  <w:t>https://www.svd.se/a/aaf40e4d-166f-34f3-8008-0314a53d197f/genombrott-for-privat-sjukvard</w:t>
                </w:r>
              </w:hyperlink>
              <w:r w:rsidRPr="001F77B1">
                <w:rPr>
                  <w:rFonts w:asciiTheme="minorHAnsi" w:hAnsiTheme="minorHAnsi"/>
                </w:rPr>
                <w:t>.</w:t>
              </w:r>
            </w:p>
            <w:p w14:paraId="35307720" w14:textId="78E95F76" w:rsidR="005D340D" w:rsidRDefault="005D340D" w:rsidP="005D340D">
              <w:pPr>
                <w:ind w:left="284" w:hanging="284"/>
                <w:jc w:val="both"/>
                <w:rPr>
                  <w:rFonts w:asciiTheme="minorHAnsi" w:hAnsiTheme="minorHAnsi"/>
                  <w:lang w:val="en-US"/>
                </w:rPr>
              </w:pPr>
              <w:proofErr w:type="spellStart"/>
              <w:r>
                <w:rPr>
                  <w:rFonts w:asciiTheme="minorHAnsi" w:hAnsiTheme="minorHAnsi"/>
                  <w:lang w:val="en-US"/>
                </w:rPr>
                <w:lastRenderedPageBreak/>
                <w:t>Moscelli</w:t>
              </w:r>
              <w:proofErr w:type="spellEnd"/>
              <w:r>
                <w:rPr>
                  <w:rFonts w:asciiTheme="minorHAnsi" w:hAnsiTheme="minorHAnsi"/>
                  <w:lang w:val="en-US"/>
                </w:rPr>
                <w:t>, Giuseppe</w:t>
              </w:r>
              <w:r w:rsidRPr="001556D7">
                <w:rPr>
                  <w:rFonts w:asciiTheme="minorHAnsi" w:hAnsiTheme="minorHAnsi"/>
                  <w:lang w:val="en-US"/>
                </w:rPr>
                <w:t>,</w:t>
              </w:r>
              <w:r>
                <w:rPr>
                  <w:rFonts w:asciiTheme="minorHAnsi" w:hAnsiTheme="minorHAnsi"/>
                  <w:lang w:val="en-US"/>
                </w:rPr>
                <w:t xml:space="preserve"> Hugh Gravelle, Luigi Siciliani </w:t>
              </w:r>
              <w:proofErr w:type="spellStart"/>
              <w:r>
                <w:rPr>
                  <w:rFonts w:asciiTheme="minorHAnsi" w:hAnsiTheme="minorHAnsi"/>
                  <w:lang w:val="en-US"/>
                </w:rPr>
                <w:t>och</w:t>
              </w:r>
              <w:proofErr w:type="spellEnd"/>
              <w:r>
                <w:rPr>
                  <w:rFonts w:asciiTheme="minorHAnsi" w:hAnsiTheme="minorHAnsi"/>
                  <w:lang w:val="en-US"/>
                </w:rPr>
                <w:t xml:space="preserve"> Nils </w:t>
              </w:r>
              <w:proofErr w:type="spellStart"/>
              <w:r>
                <w:rPr>
                  <w:rFonts w:asciiTheme="minorHAnsi" w:hAnsiTheme="minorHAnsi"/>
                  <w:lang w:val="en-US"/>
                </w:rPr>
                <w:t>Gutacker</w:t>
              </w:r>
              <w:proofErr w:type="spellEnd"/>
              <w:r w:rsidRPr="001556D7">
                <w:rPr>
                  <w:rFonts w:asciiTheme="minorHAnsi" w:hAnsiTheme="minorHAnsi"/>
                  <w:lang w:val="en-US"/>
                </w:rPr>
                <w:t xml:space="preserve"> 2009. </w:t>
              </w:r>
              <w:proofErr w:type="gramStart"/>
              <w:r w:rsidRPr="001556D7">
                <w:rPr>
                  <w:rFonts w:asciiTheme="minorHAnsi" w:hAnsiTheme="minorHAnsi"/>
                  <w:lang w:val="en-US"/>
                </w:rPr>
                <w:t>”</w:t>
              </w:r>
              <w:r w:rsidRPr="005D340D">
                <w:rPr>
                  <w:rFonts w:asciiTheme="minorHAnsi" w:hAnsiTheme="minorHAnsi"/>
                  <w:lang w:val="en-US"/>
                </w:rPr>
                <w:t>The</w:t>
              </w:r>
              <w:proofErr w:type="gramEnd"/>
              <w:r w:rsidRPr="005D340D">
                <w:rPr>
                  <w:rFonts w:asciiTheme="minorHAnsi" w:hAnsiTheme="minorHAnsi"/>
                  <w:lang w:val="en-US"/>
                </w:rPr>
                <w:t xml:space="preserve"> effect of hospital ownership on quality of care: Evidence from England</w:t>
              </w:r>
              <w:r w:rsidRPr="001556D7">
                <w:rPr>
                  <w:rFonts w:asciiTheme="minorHAnsi" w:hAnsiTheme="minorHAnsi"/>
                  <w:lang w:val="en-US"/>
                </w:rPr>
                <w:t xml:space="preserve">.” </w:t>
              </w:r>
              <w:r w:rsidRPr="005D340D">
                <w:rPr>
                  <w:rFonts w:asciiTheme="minorHAnsi" w:hAnsiTheme="minorHAnsi"/>
                  <w:lang w:val="en-US"/>
                </w:rPr>
                <w:t>Journal of Economic Behavior &amp; Organization</w:t>
              </w:r>
              <w:r>
                <w:rPr>
                  <w:rFonts w:asciiTheme="minorHAnsi" w:hAnsiTheme="minorHAnsi"/>
                  <w:lang w:val="en-US"/>
                </w:rPr>
                <w:t xml:space="preserve"> 153</w:t>
              </w:r>
              <w:r w:rsidRPr="001556D7">
                <w:rPr>
                  <w:rFonts w:asciiTheme="minorHAnsi" w:hAnsiTheme="minorHAnsi"/>
                  <w:lang w:val="en-US"/>
                </w:rPr>
                <w:t xml:space="preserve">: </w:t>
              </w:r>
              <w:r>
                <w:rPr>
                  <w:rFonts w:asciiTheme="minorHAnsi" w:hAnsiTheme="minorHAnsi"/>
                  <w:lang w:val="en-US"/>
                </w:rPr>
                <w:t>322</w:t>
              </w:r>
              <w:r w:rsidRPr="001556D7">
                <w:rPr>
                  <w:rFonts w:asciiTheme="minorHAnsi" w:hAnsiTheme="minorHAnsi"/>
                  <w:lang w:val="en-US"/>
                </w:rPr>
                <w:t>–</w:t>
              </w:r>
              <w:r>
                <w:rPr>
                  <w:rFonts w:asciiTheme="minorHAnsi" w:hAnsiTheme="minorHAnsi"/>
                  <w:lang w:val="en-US"/>
                </w:rPr>
                <w:t>344</w:t>
              </w:r>
              <w:r w:rsidRPr="001556D7">
                <w:rPr>
                  <w:rFonts w:asciiTheme="minorHAnsi" w:hAnsiTheme="minorHAnsi"/>
                  <w:lang w:val="en-US"/>
                </w:rPr>
                <w:t>.</w:t>
              </w:r>
            </w:p>
            <w:p w14:paraId="06858A40" w14:textId="792555B4" w:rsidR="00D301A1" w:rsidRDefault="00D301A1" w:rsidP="00D301A1">
              <w:pPr>
                <w:ind w:left="284" w:hanging="284"/>
                <w:jc w:val="both"/>
                <w:rPr>
                  <w:rFonts w:asciiTheme="minorHAnsi" w:hAnsiTheme="minorHAnsi"/>
                  <w:lang w:val="en-US"/>
                </w:rPr>
              </w:pPr>
              <w:proofErr w:type="spellStart"/>
              <w:r>
                <w:rPr>
                  <w:rFonts w:asciiTheme="minorHAnsi" w:hAnsiTheme="minorHAnsi"/>
                  <w:lang w:val="en-US"/>
                </w:rPr>
                <w:t>Moscelli</w:t>
              </w:r>
              <w:proofErr w:type="spellEnd"/>
              <w:r>
                <w:rPr>
                  <w:rFonts w:asciiTheme="minorHAnsi" w:hAnsiTheme="minorHAnsi"/>
                  <w:lang w:val="en-US"/>
                </w:rPr>
                <w:t>, Giuseppe</w:t>
              </w:r>
              <w:r w:rsidRPr="001556D7">
                <w:rPr>
                  <w:rFonts w:asciiTheme="minorHAnsi" w:hAnsiTheme="minorHAnsi"/>
                  <w:lang w:val="en-US"/>
                </w:rPr>
                <w:t>,</w:t>
              </w:r>
              <w:r>
                <w:rPr>
                  <w:rFonts w:asciiTheme="minorHAnsi" w:hAnsiTheme="minorHAnsi"/>
                  <w:lang w:val="en-US"/>
                </w:rPr>
                <w:t xml:space="preserve"> Hugh Gravelle </w:t>
              </w:r>
              <w:proofErr w:type="spellStart"/>
              <w:r>
                <w:rPr>
                  <w:rFonts w:asciiTheme="minorHAnsi" w:hAnsiTheme="minorHAnsi"/>
                  <w:lang w:val="en-US"/>
                </w:rPr>
                <w:t>och</w:t>
              </w:r>
              <w:proofErr w:type="spellEnd"/>
              <w:r>
                <w:rPr>
                  <w:rFonts w:asciiTheme="minorHAnsi" w:hAnsiTheme="minorHAnsi"/>
                  <w:lang w:val="en-US"/>
                </w:rPr>
                <w:t xml:space="preserve"> Luigi Siciliani. </w:t>
              </w:r>
              <w:r w:rsidRPr="001556D7">
                <w:rPr>
                  <w:rFonts w:asciiTheme="minorHAnsi" w:hAnsiTheme="minorHAnsi"/>
                  <w:lang w:val="en-US"/>
                </w:rPr>
                <w:t>20</w:t>
              </w:r>
              <w:r>
                <w:rPr>
                  <w:rFonts w:asciiTheme="minorHAnsi" w:hAnsiTheme="minorHAnsi"/>
                  <w:lang w:val="en-US"/>
                </w:rPr>
                <w:t>21</w:t>
              </w:r>
              <w:r w:rsidRPr="001556D7">
                <w:rPr>
                  <w:rFonts w:asciiTheme="minorHAnsi" w:hAnsiTheme="minorHAnsi"/>
                  <w:lang w:val="en-US"/>
                </w:rPr>
                <w:t>.”</w:t>
              </w:r>
              <w:r w:rsidRPr="00D301A1">
                <w:rPr>
                  <w:rFonts w:asciiTheme="minorHAnsi" w:hAnsiTheme="minorHAnsi"/>
                  <w:lang w:val="en-US"/>
                </w:rPr>
                <w:t xml:space="preserve"> Hospital competition and quality for non-emergency patients in the English NHS</w:t>
              </w:r>
              <w:r w:rsidRPr="001556D7">
                <w:rPr>
                  <w:rFonts w:asciiTheme="minorHAnsi" w:hAnsiTheme="minorHAnsi"/>
                  <w:lang w:val="en-US"/>
                </w:rPr>
                <w:t xml:space="preserve">.” </w:t>
              </w:r>
              <w:r>
                <w:rPr>
                  <w:rFonts w:asciiTheme="minorHAnsi" w:hAnsiTheme="minorHAnsi"/>
                  <w:lang w:val="en-US"/>
                </w:rPr>
                <w:t xml:space="preserve">Rand </w:t>
              </w:r>
              <w:r w:rsidRPr="005D340D">
                <w:rPr>
                  <w:rFonts w:asciiTheme="minorHAnsi" w:hAnsiTheme="minorHAnsi"/>
                  <w:lang w:val="en-US"/>
                </w:rPr>
                <w:t>Journal of Economic</w:t>
              </w:r>
              <w:r>
                <w:rPr>
                  <w:rFonts w:asciiTheme="minorHAnsi" w:hAnsiTheme="minorHAnsi"/>
                  <w:lang w:val="en-US"/>
                </w:rPr>
                <w:t>s 52</w:t>
              </w:r>
              <w:r w:rsidRPr="001556D7">
                <w:rPr>
                  <w:rFonts w:asciiTheme="minorHAnsi" w:hAnsiTheme="minorHAnsi"/>
                  <w:lang w:val="en-US"/>
                </w:rPr>
                <w:t xml:space="preserve">: </w:t>
              </w:r>
              <w:r>
                <w:rPr>
                  <w:rFonts w:asciiTheme="minorHAnsi" w:hAnsiTheme="minorHAnsi"/>
                  <w:lang w:val="en-US"/>
                </w:rPr>
                <w:t>382–414</w:t>
              </w:r>
              <w:r w:rsidRPr="001556D7">
                <w:rPr>
                  <w:rFonts w:asciiTheme="minorHAnsi" w:hAnsiTheme="minorHAnsi"/>
                  <w:lang w:val="en-US"/>
                </w:rPr>
                <w:t>.</w:t>
              </w:r>
            </w:p>
            <w:p w14:paraId="40FF99A1" w14:textId="169F4CDB" w:rsidR="00D301A1" w:rsidRPr="00693C62" w:rsidRDefault="00D301A1" w:rsidP="00D301A1">
              <w:pPr>
                <w:ind w:left="284" w:hanging="284"/>
                <w:jc w:val="both"/>
                <w:rPr>
                  <w:rFonts w:asciiTheme="minorHAnsi" w:hAnsiTheme="minorHAnsi"/>
                  <w:lang w:val="en-US"/>
                </w:rPr>
              </w:pPr>
              <w:proofErr w:type="spellStart"/>
              <w:r>
                <w:rPr>
                  <w:rFonts w:asciiTheme="minorHAnsi" w:hAnsiTheme="minorHAnsi"/>
                  <w:lang w:val="en-US"/>
                </w:rPr>
                <w:t>Moscelli</w:t>
              </w:r>
              <w:proofErr w:type="spellEnd"/>
              <w:r>
                <w:rPr>
                  <w:rFonts w:asciiTheme="minorHAnsi" w:hAnsiTheme="minorHAnsi"/>
                  <w:lang w:val="en-US"/>
                </w:rPr>
                <w:t>, Giuseppe</w:t>
              </w:r>
              <w:r w:rsidRPr="001556D7">
                <w:rPr>
                  <w:rFonts w:asciiTheme="minorHAnsi" w:hAnsiTheme="minorHAnsi"/>
                  <w:lang w:val="en-US"/>
                </w:rPr>
                <w:t>,</w:t>
              </w:r>
              <w:r>
                <w:rPr>
                  <w:rFonts w:asciiTheme="minorHAnsi" w:hAnsiTheme="minorHAnsi"/>
                  <w:lang w:val="en-US"/>
                </w:rPr>
                <w:t xml:space="preserve"> Hugh Gravelle </w:t>
              </w:r>
              <w:proofErr w:type="spellStart"/>
              <w:r>
                <w:rPr>
                  <w:rFonts w:asciiTheme="minorHAnsi" w:hAnsiTheme="minorHAnsi"/>
                  <w:lang w:val="en-US"/>
                </w:rPr>
                <w:t>och</w:t>
              </w:r>
              <w:proofErr w:type="spellEnd"/>
              <w:r>
                <w:rPr>
                  <w:rFonts w:asciiTheme="minorHAnsi" w:hAnsiTheme="minorHAnsi"/>
                  <w:lang w:val="en-US"/>
                </w:rPr>
                <w:t xml:space="preserve"> Luigi Siciliani. 2023</w:t>
              </w:r>
              <w:r w:rsidRPr="001556D7">
                <w:rPr>
                  <w:rFonts w:asciiTheme="minorHAnsi" w:hAnsiTheme="minorHAnsi"/>
                  <w:lang w:val="en-US"/>
                </w:rPr>
                <w:t xml:space="preserve">. </w:t>
              </w:r>
              <w:r w:rsidRPr="00D301A1">
                <w:rPr>
                  <w:rFonts w:asciiTheme="minorHAnsi" w:hAnsiTheme="minorHAnsi"/>
                  <w:lang w:val="en-US"/>
                </w:rPr>
                <w:t>The effect of hospital choice and competition on inequalities in waiting times</w:t>
              </w:r>
              <w:r w:rsidRPr="001556D7">
                <w:rPr>
                  <w:rFonts w:asciiTheme="minorHAnsi" w:hAnsiTheme="minorHAnsi"/>
                  <w:lang w:val="en-US"/>
                </w:rPr>
                <w:t xml:space="preserve">.” </w:t>
              </w:r>
              <w:r w:rsidRPr="005D340D">
                <w:rPr>
                  <w:rFonts w:asciiTheme="minorHAnsi" w:hAnsiTheme="minorHAnsi"/>
                  <w:lang w:val="en-US"/>
                </w:rPr>
                <w:t>Journal of Economic Behavior &amp; Organization</w:t>
              </w:r>
              <w:r>
                <w:rPr>
                  <w:rFonts w:asciiTheme="minorHAnsi" w:hAnsiTheme="minorHAnsi"/>
                  <w:lang w:val="en-US"/>
                </w:rPr>
                <w:t xml:space="preserve"> 205</w:t>
              </w:r>
              <w:r w:rsidRPr="001556D7">
                <w:rPr>
                  <w:rFonts w:asciiTheme="minorHAnsi" w:hAnsiTheme="minorHAnsi"/>
                  <w:lang w:val="en-US"/>
                </w:rPr>
                <w:t xml:space="preserve">: </w:t>
              </w:r>
              <w:r>
                <w:rPr>
                  <w:rFonts w:asciiTheme="minorHAnsi" w:hAnsiTheme="minorHAnsi"/>
                  <w:lang w:val="en-US"/>
                </w:rPr>
                <w:t>169</w:t>
              </w:r>
              <w:r w:rsidRPr="001556D7">
                <w:rPr>
                  <w:rFonts w:asciiTheme="minorHAnsi" w:hAnsiTheme="minorHAnsi"/>
                  <w:lang w:val="en-US"/>
                </w:rPr>
                <w:t>–</w:t>
              </w:r>
              <w:r>
                <w:rPr>
                  <w:rFonts w:asciiTheme="minorHAnsi" w:hAnsiTheme="minorHAnsi"/>
                  <w:lang w:val="en-US"/>
                </w:rPr>
                <w:t>201</w:t>
              </w:r>
              <w:r w:rsidRPr="001556D7">
                <w:rPr>
                  <w:rFonts w:asciiTheme="minorHAnsi" w:hAnsiTheme="minorHAnsi"/>
                  <w:lang w:val="en-US"/>
                </w:rPr>
                <w:t>.</w:t>
              </w:r>
            </w:p>
            <w:p w14:paraId="0E3E231B" w14:textId="52A1DD35" w:rsidR="00933B65" w:rsidRPr="003643D7" w:rsidRDefault="00933B65" w:rsidP="0073675E">
              <w:pPr>
                <w:ind w:left="284" w:hanging="284"/>
                <w:jc w:val="both"/>
                <w:rPr>
                  <w:rFonts w:asciiTheme="minorHAnsi" w:hAnsiTheme="minorHAnsi"/>
                </w:rPr>
              </w:pPr>
              <w:r w:rsidRPr="00933B65">
                <w:rPr>
                  <w:rFonts w:asciiTheme="minorHAnsi" w:hAnsiTheme="minorHAnsi"/>
                </w:rPr>
                <w:t xml:space="preserve">Propper, Carol. 2018. </w:t>
              </w:r>
              <w:r w:rsidR="00DB0E6D">
                <w:rPr>
                  <w:rFonts w:asciiTheme="minorHAnsi" w:hAnsiTheme="minorHAnsi"/>
                </w:rPr>
                <w:t>“</w:t>
              </w:r>
              <w:r w:rsidRPr="00933B65">
                <w:rPr>
                  <w:rFonts w:asciiTheme="minorHAnsi" w:hAnsiTheme="minorHAnsi"/>
                </w:rPr>
                <w:t>Competition in health care: lessons from the English experience.</w:t>
              </w:r>
              <w:r w:rsidR="00DB0E6D">
                <w:rPr>
                  <w:rFonts w:asciiTheme="minorHAnsi" w:hAnsiTheme="minorHAnsi"/>
                </w:rPr>
                <w:t>”</w:t>
              </w:r>
              <w:r w:rsidRPr="00933B65">
                <w:rPr>
                  <w:rFonts w:asciiTheme="minorHAnsi" w:hAnsiTheme="minorHAnsi"/>
                </w:rPr>
                <w:t xml:space="preserve"> Health Economics, </w:t>
              </w:r>
              <w:proofErr w:type="gramStart"/>
              <w:r w:rsidRPr="00933B65">
                <w:rPr>
                  <w:rFonts w:asciiTheme="minorHAnsi" w:hAnsiTheme="minorHAnsi"/>
                </w:rPr>
                <w:t>Policy</w:t>
              </w:r>
              <w:proofErr w:type="gramEnd"/>
              <w:r w:rsidRPr="00933B65">
                <w:rPr>
                  <w:rFonts w:asciiTheme="minorHAnsi" w:hAnsiTheme="minorHAnsi"/>
                </w:rPr>
                <w:t xml:space="preserve"> and Law. 13 (3-4): 492-508. doi:10.1017/S1744133117000494</w:t>
              </w:r>
              <w:r>
                <w:rPr>
                  <w:rFonts w:asciiTheme="minorHAnsi" w:hAnsiTheme="minorHAnsi"/>
                </w:rPr>
                <w:t>.</w:t>
              </w:r>
            </w:p>
            <w:p w14:paraId="5A12057E" w14:textId="3651A1CC" w:rsidR="00505D91" w:rsidRPr="009E4A8A" w:rsidRDefault="00505D91" w:rsidP="00505D91">
              <w:pPr>
                <w:ind w:left="284" w:hanging="284"/>
                <w:jc w:val="both"/>
                <w:rPr>
                  <w:rFonts w:asciiTheme="minorHAnsi" w:hAnsiTheme="minorHAnsi"/>
                  <w:lang w:val="sv-SE"/>
                </w:rPr>
              </w:pPr>
              <w:r w:rsidRPr="00FF04BD">
                <w:rPr>
                  <w:rFonts w:asciiTheme="minorHAnsi" w:hAnsiTheme="minorHAnsi"/>
                  <w:lang w:val="en-US"/>
                </w:rPr>
                <w:t xml:space="preserve">Rehnberg, Claes, Nils </w:t>
              </w:r>
              <w:proofErr w:type="spellStart"/>
              <w:r w:rsidRPr="00FF04BD">
                <w:rPr>
                  <w:rFonts w:asciiTheme="minorHAnsi" w:hAnsiTheme="minorHAnsi"/>
                  <w:lang w:val="en-US"/>
                </w:rPr>
                <w:t>Janlöv</w:t>
              </w:r>
              <w:proofErr w:type="spellEnd"/>
              <w:r w:rsidRPr="00FF04BD">
                <w:rPr>
                  <w:rFonts w:asciiTheme="minorHAnsi" w:hAnsiTheme="minorHAnsi"/>
                  <w:lang w:val="en-US"/>
                </w:rPr>
                <w:t xml:space="preserve"> </w:t>
              </w:r>
              <w:proofErr w:type="spellStart"/>
              <w:r w:rsidRPr="00FF04BD">
                <w:rPr>
                  <w:rFonts w:asciiTheme="minorHAnsi" w:hAnsiTheme="minorHAnsi"/>
                  <w:lang w:val="en-US"/>
                </w:rPr>
                <w:t>och</w:t>
              </w:r>
              <w:proofErr w:type="spellEnd"/>
              <w:r w:rsidRPr="00FF04BD">
                <w:rPr>
                  <w:rFonts w:asciiTheme="minorHAnsi" w:hAnsiTheme="minorHAnsi"/>
                  <w:lang w:val="en-US"/>
                </w:rPr>
                <w:t xml:space="preserve"> Jahangir Khan. 2009. </w:t>
              </w:r>
              <w:r w:rsidRPr="009E4A8A">
                <w:rPr>
                  <w:rFonts w:asciiTheme="minorHAnsi" w:hAnsiTheme="minorHAnsi"/>
                  <w:lang w:val="sv-SE"/>
                </w:rPr>
                <w:t xml:space="preserve">“Uppföljning av Vårdval </w:t>
              </w:r>
              <w:proofErr w:type="spellStart"/>
              <w:r w:rsidRPr="009E4A8A">
                <w:rPr>
                  <w:rFonts w:asciiTheme="minorHAnsi" w:hAnsiTheme="minorHAnsi"/>
                  <w:lang w:val="sv-SE"/>
                </w:rPr>
                <w:t>Stockholmår</w:t>
              </w:r>
              <w:proofErr w:type="spellEnd"/>
              <w:r w:rsidRPr="009E4A8A">
                <w:rPr>
                  <w:rFonts w:asciiTheme="minorHAnsi" w:hAnsiTheme="minorHAnsi"/>
                  <w:lang w:val="sv-SE"/>
                </w:rPr>
                <w:t xml:space="preserve"> 2008</w:t>
              </w:r>
              <w:r w:rsidR="00DB0E6D">
                <w:rPr>
                  <w:rFonts w:asciiTheme="minorHAnsi" w:hAnsiTheme="minorHAnsi"/>
                  <w:lang w:val="sv-SE"/>
                </w:rPr>
                <w:t>.</w:t>
              </w:r>
              <w:r w:rsidRPr="009E4A8A">
                <w:rPr>
                  <w:rFonts w:asciiTheme="minorHAnsi" w:hAnsiTheme="minorHAnsi"/>
                  <w:lang w:val="sv-SE"/>
                </w:rPr>
                <w:t>” Rapport. Karolinska Institutets folkhälsoakademi.</w:t>
              </w:r>
            </w:p>
            <w:p w14:paraId="1C0FC5C4" w14:textId="62DB46BF" w:rsidR="001973BB" w:rsidRDefault="001973BB" w:rsidP="001973BB">
              <w:pPr>
                <w:ind w:left="284" w:hanging="284"/>
                <w:jc w:val="both"/>
                <w:rPr>
                  <w:rFonts w:asciiTheme="minorHAnsi" w:hAnsiTheme="minorHAnsi"/>
                  <w:lang w:val="sv-SE"/>
                </w:rPr>
              </w:pPr>
              <w:r>
                <w:rPr>
                  <w:rFonts w:asciiTheme="minorHAnsi" w:hAnsiTheme="minorHAnsi"/>
                  <w:lang w:val="sv-SE"/>
                </w:rPr>
                <w:t>SCB</w:t>
              </w:r>
              <w:r w:rsidRPr="009E4A8A">
                <w:rPr>
                  <w:rFonts w:asciiTheme="minorHAnsi" w:hAnsiTheme="minorHAnsi"/>
                  <w:lang w:val="sv-SE"/>
                </w:rPr>
                <w:t xml:space="preserve">. </w:t>
              </w:r>
              <w:r>
                <w:rPr>
                  <w:rFonts w:asciiTheme="minorHAnsi" w:hAnsiTheme="minorHAnsi"/>
                  <w:lang w:val="sv-SE"/>
                </w:rPr>
                <w:t>2024</w:t>
              </w:r>
              <w:r w:rsidRPr="009E4A8A">
                <w:rPr>
                  <w:rFonts w:asciiTheme="minorHAnsi" w:hAnsiTheme="minorHAnsi"/>
                  <w:lang w:val="sv-SE"/>
                </w:rPr>
                <w:t xml:space="preserve">. </w:t>
              </w:r>
              <w:r>
                <w:rPr>
                  <w:rFonts w:asciiTheme="minorHAnsi" w:hAnsiTheme="minorHAnsi"/>
                  <w:lang w:val="sv-SE"/>
                </w:rPr>
                <w:t>Data hämtad från Statistikdatabasen</w:t>
              </w:r>
              <w:r w:rsidRPr="009E4A8A">
                <w:rPr>
                  <w:rFonts w:asciiTheme="minorHAnsi" w:hAnsiTheme="minorHAnsi"/>
                  <w:lang w:val="sv-SE"/>
                </w:rPr>
                <w:t>.</w:t>
              </w:r>
            </w:p>
            <w:p w14:paraId="13825C20" w14:textId="08A0CE1C" w:rsidR="00067385" w:rsidRDefault="00067385" w:rsidP="00067385">
              <w:pPr>
                <w:ind w:left="284" w:hanging="284"/>
                <w:jc w:val="both"/>
                <w:rPr>
                  <w:rFonts w:asciiTheme="minorHAnsi" w:hAnsiTheme="minorHAnsi"/>
                  <w:lang w:val="sv-SE"/>
                </w:rPr>
              </w:pPr>
              <w:r>
                <w:rPr>
                  <w:rFonts w:asciiTheme="minorHAnsi" w:hAnsiTheme="minorHAnsi"/>
                  <w:lang w:val="sv-SE"/>
                </w:rPr>
                <w:t>Schröder, Emil</w:t>
              </w:r>
              <w:r w:rsidRPr="009E4A8A">
                <w:rPr>
                  <w:rFonts w:asciiTheme="minorHAnsi" w:hAnsiTheme="minorHAnsi"/>
                  <w:lang w:val="sv-SE"/>
                </w:rPr>
                <w:t xml:space="preserve">. </w:t>
              </w:r>
              <w:r>
                <w:rPr>
                  <w:rFonts w:asciiTheme="minorHAnsi" w:hAnsiTheme="minorHAnsi"/>
                  <w:lang w:val="sv-SE"/>
                </w:rPr>
                <w:t>2023</w:t>
              </w:r>
              <w:r w:rsidRPr="009E4A8A">
                <w:rPr>
                  <w:rFonts w:asciiTheme="minorHAnsi" w:hAnsiTheme="minorHAnsi"/>
                  <w:lang w:val="sv-SE"/>
                </w:rPr>
                <w:t>. “</w:t>
              </w:r>
              <w:r w:rsidRPr="00E54175">
                <w:rPr>
                  <w:rFonts w:asciiTheme="minorHAnsi" w:hAnsiTheme="minorHAnsi"/>
                  <w:lang w:val="sv-SE"/>
                </w:rPr>
                <w:t>Mottagning säger upp avtal i förtid när vårdval allergologi avvecklas</w:t>
              </w:r>
              <w:r w:rsidRPr="009E4A8A">
                <w:rPr>
                  <w:rFonts w:asciiTheme="minorHAnsi" w:hAnsiTheme="minorHAnsi"/>
                  <w:lang w:val="sv-SE"/>
                </w:rPr>
                <w:t xml:space="preserve">”, </w:t>
              </w:r>
              <w:r>
                <w:rPr>
                  <w:rFonts w:asciiTheme="minorHAnsi" w:hAnsiTheme="minorHAnsi"/>
                  <w:lang w:val="sv-SE"/>
                </w:rPr>
                <w:t xml:space="preserve">Dagens </w:t>
              </w:r>
              <w:proofErr w:type="gramStart"/>
              <w:r>
                <w:rPr>
                  <w:rFonts w:asciiTheme="minorHAnsi" w:hAnsiTheme="minorHAnsi"/>
                  <w:lang w:val="sv-SE"/>
                </w:rPr>
                <w:t>Medicin</w:t>
              </w:r>
              <w:r w:rsidRPr="009E4A8A">
                <w:rPr>
                  <w:rFonts w:asciiTheme="minorHAnsi" w:hAnsiTheme="minorHAnsi"/>
                  <w:lang w:val="sv-SE"/>
                </w:rPr>
                <w:t xml:space="preserve">,  </w:t>
              </w:r>
              <w:r>
                <w:rPr>
                  <w:rFonts w:asciiTheme="minorHAnsi" w:hAnsiTheme="minorHAnsi"/>
                  <w:lang w:val="sv-SE"/>
                </w:rPr>
                <w:t>22</w:t>
              </w:r>
              <w:proofErr w:type="gramEnd"/>
              <w:r>
                <w:rPr>
                  <w:rFonts w:asciiTheme="minorHAnsi" w:hAnsiTheme="minorHAnsi"/>
                  <w:lang w:val="sv-SE"/>
                </w:rPr>
                <w:t>:a december 2023</w:t>
              </w:r>
              <w:r w:rsidRPr="009E4A8A">
                <w:rPr>
                  <w:rFonts w:asciiTheme="minorHAnsi" w:hAnsiTheme="minorHAnsi"/>
                  <w:lang w:val="sv-SE"/>
                </w:rPr>
                <w:t xml:space="preserve">, </w:t>
              </w:r>
              <w:hyperlink r:id="rId24" w:history="1">
                <w:r w:rsidRPr="00D96D5A">
                  <w:rPr>
                    <w:rStyle w:val="Hyperlnk"/>
                    <w:rFonts w:asciiTheme="minorHAnsi" w:hAnsiTheme="minorHAnsi"/>
                    <w:lang w:val="sv-SE"/>
                  </w:rPr>
                  <w:t>https://www.dagensmedicin.se/vardens-styrning/politik/mottagning-sager-upp-avtal-i-fortid-nar-vardval-allergologi-avvecklas/</w:t>
                </w:r>
              </w:hyperlink>
              <w:r>
                <w:rPr>
                  <w:rFonts w:asciiTheme="minorHAnsi" w:hAnsiTheme="minorHAnsi"/>
                  <w:lang w:val="sv-SE"/>
                </w:rPr>
                <w:t xml:space="preserve">. </w:t>
              </w:r>
            </w:p>
            <w:p w14:paraId="091D5E58" w14:textId="1F491E63" w:rsidR="00933B65" w:rsidRDefault="00933B65" w:rsidP="00067385">
              <w:pPr>
                <w:ind w:left="284" w:hanging="284"/>
                <w:jc w:val="both"/>
                <w:rPr>
                  <w:rFonts w:asciiTheme="minorHAnsi" w:hAnsiTheme="minorHAnsi"/>
                  <w:lang w:val="sv-SE"/>
                </w:rPr>
              </w:pPr>
              <w:proofErr w:type="spellStart"/>
              <w:r w:rsidRPr="00933B65">
                <w:rPr>
                  <w:rFonts w:asciiTheme="minorHAnsi" w:hAnsiTheme="minorHAnsi"/>
                  <w:lang w:val="sv-SE"/>
                </w:rPr>
                <w:t>Sirona</w:t>
              </w:r>
              <w:proofErr w:type="spellEnd"/>
              <w:r w:rsidRPr="00933B65">
                <w:rPr>
                  <w:rFonts w:asciiTheme="minorHAnsi" w:hAnsiTheme="minorHAnsi"/>
                  <w:lang w:val="sv-SE"/>
                </w:rPr>
                <w:t xml:space="preserve">, 2021. </w:t>
              </w:r>
              <w:r w:rsidR="00DB0E6D">
                <w:rPr>
                  <w:rFonts w:asciiTheme="minorHAnsi" w:hAnsiTheme="minorHAnsi"/>
                  <w:lang w:val="sv-SE"/>
                </w:rPr>
                <w:t>”</w:t>
              </w:r>
              <w:r w:rsidRPr="00933B65">
                <w:rPr>
                  <w:rFonts w:asciiTheme="minorHAnsi" w:hAnsiTheme="minorHAnsi"/>
                  <w:lang w:val="sv-SE"/>
                </w:rPr>
                <w:t>Hur uppskjuten vård kan arbetas bort med stöd av privata vårdgivare.</w:t>
              </w:r>
              <w:r w:rsidR="00DB0E6D">
                <w:rPr>
                  <w:rFonts w:asciiTheme="minorHAnsi" w:hAnsiTheme="minorHAnsi"/>
                  <w:lang w:val="sv-SE"/>
                </w:rPr>
                <w:t>”</w:t>
              </w:r>
              <w:r w:rsidRPr="00933B65">
                <w:rPr>
                  <w:rFonts w:asciiTheme="minorHAnsi" w:hAnsiTheme="minorHAnsi"/>
                  <w:lang w:val="sv-SE"/>
                </w:rPr>
                <w:t xml:space="preserve"> Studie genomförd av analysföretaget </w:t>
              </w:r>
              <w:proofErr w:type="spellStart"/>
              <w:r w:rsidRPr="00933B65">
                <w:rPr>
                  <w:rFonts w:asciiTheme="minorHAnsi" w:hAnsiTheme="minorHAnsi"/>
                  <w:lang w:val="sv-SE"/>
                </w:rPr>
                <w:t>Sirona</w:t>
              </w:r>
              <w:proofErr w:type="spellEnd"/>
              <w:r w:rsidRPr="00933B65">
                <w:rPr>
                  <w:rFonts w:asciiTheme="minorHAnsi" w:hAnsiTheme="minorHAnsi"/>
                  <w:lang w:val="sv-SE"/>
                </w:rPr>
                <w:t xml:space="preserve"> på uppdrag av Vårdföretagarna.</w:t>
              </w:r>
            </w:p>
            <w:p w14:paraId="28C48475" w14:textId="27A8B8C5" w:rsidR="00077ED6" w:rsidRDefault="00077ED6" w:rsidP="00077ED6">
              <w:pPr>
                <w:ind w:left="284" w:hanging="284"/>
                <w:jc w:val="both"/>
                <w:rPr>
                  <w:rFonts w:asciiTheme="minorHAnsi" w:hAnsiTheme="minorHAnsi"/>
                  <w:lang w:val="sv-SE"/>
                </w:rPr>
              </w:pPr>
              <w:r w:rsidRPr="009E4A8A">
                <w:rPr>
                  <w:rFonts w:asciiTheme="minorHAnsi" w:hAnsiTheme="minorHAnsi"/>
                  <w:lang w:val="sv-SE"/>
                </w:rPr>
                <w:t>SLL. 2000. “Vården under 90-talet – Del I. Den organisatoriska nivån”. Rapport 2020:4. Yrkesmedicinska enheten</w:t>
              </w:r>
              <w:r w:rsidR="007A42E5" w:rsidRPr="009E4A8A">
                <w:rPr>
                  <w:rFonts w:asciiTheme="minorHAnsi" w:hAnsiTheme="minorHAnsi"/>
                  <w:lang w:val="sv-SE"/>
                </w:rPr>
                <w:t>, Stockholms läns landsting.</w:t>
              </w:r>
            </w:p>
            <w:p w14:paraId="24399629" w14:textId="77777777" w:rsidR="00933B65" w:rsidRPr="00933B65" w:rsidRDefault="00933B65" w:rsidP="00933B65">
              <w:pPr>
                <w:ind w:left="284" w:hanging="284"/>
                <w:jc w:val="both"/>
                <w:rPr>
                  <w:rFonts w:asciiTheme="minorHAnsi" w:hAnsiTheme="minorHAnsi"/>
                  <w:lang w:val="sv-SE"/>
                </w:rPr>
              </w:pPr>
              <w:r w:rsidRPr="00933B65">
                <w:rPr>
                  <w:rFonts w:asciiTheme="minorHAnsi" w:hAnsiTheme="minorHAnsi"/>
                  <w:lang w:val="sv-SE"/>
                </w:rPr>
                <w:t xml:space="preserve">SLL, 2013. Konsekvensutredning – </w:t>
              </w:r>
              <w:proofErr w:type="spellStart"/>
              <w:r w:rsidRPr="00933B65">
                <w:rPr>
                  <w:rFonts w:asciiTheme="minorHAnsi" w:hAnsiTheme="minorHAnsi"/>
                  <w:lang w:val="sv-SE"/>
                </w:rPr>
                <w:t>Utskifte</w:t>
              </w:r>
              <w:proofErr w:type="spellEnd"/>
              <w:r w:rsidRPr="00933B65">
                <w:rPr>
                  <w:rFonts w:asciiTheme="minorHAnsi" w:hAnsiTheme="minorHAnsi"/>
                  <w:lang w:val="sv-SE"/>
                </w:rPr>
                <w:t xml:space="preserve"> av vård från akutsjukhusen och införande av vårdval. Dnr: HSN </w:t>
              </w:r>
              <w:proofErr w:type="gramStart"/>
              <w:r w:rsidRPr="00933B65">
                <w:rPr>
                  <w:rFonts w:asciiTheme="minorHAnsi" w:hAnsiTheme="minorHAnsi"/>
                  <w:lang w:val="sv-SE"/>
                </w:rPr>
                <w:t>1309-0966</w:t>
              </w:r>
              <w:proofErr w:type="gramEnd"/>
              <w:r w:rsidRPr="00933B65">
                <w:rPr>
                  <w:rFonts w:asciiTheme="minorHAnsi" w:hAnsiTheme="minorHAnsi"/>
                  <w:lang w:val="sv-SE"/>
                </w:rPr>
                <w:t xml:space="preserve">.  </w:t>
              </w:r>
            </w:p>
            <w:p w14:paraId="50425878" w14:textId="77777777" w:rsidR="00933B65" w:rsidRPr="00933B65" w:rsidRDefault="00933B65" w:rsidP="00933B65">
              <w:pPr>
                <w:ind w:left="284" w:hanging="284"/>
                <w:jc w:val="both"/>
                <w:rPr>
                  <w:rFonts w:asciiTheme="minorHAnsi" w:hAnsiTheme="minorHAnsi"/>
                  <w:lang w:val="sv-SE"/>
                </w:rPr>
              </w:pPr>
              <w:r w:rsidRPr="00933B65">
                <w:rPr>
                  <w:rFonts w:asciiTheme="minorHAnsi" w:hAnsiTheme="minorHAnsi"/>
                  <w:lang w:val="sv-SE"/>
                </w:rPr>
                <w:t xml:space="preserve">SLL, 2015. Benchmarking av akutsjukhusens effektivitet: Kärnverksamheterna på Danderyds sjukhus, Capio S:t Görans sjukhus och Södersjukhuset. Hälso- och sjukvårdsförvaltningen, Avdelningen för somatisk specialistvård. Dnr </w:t>
              </w:r>
              <w:proofErr w:type="gramStart"/>
              <w:r w:rsidRPr="00933B65">
                <w:rPr>
                  <w:rFonts w:asciiTheme="minorHAnsi" w:hAnsiTheme="minorHAnsi"/>
                  <w:lang w:val="sv-SE"/>
                </w:rPr>
                <w:t>1408-1118</w:t>
              </w:r>
              <w:proofErr w:type="gramEnd"/>
              <w:r w:rsidRPr="00933B65">
                <w:rPr>
                  <w:rFonts w:asciiTheme="minorHAnsi" w:hAnsiTheme="minorHAnsi"/>
                  <w:lang w:val="sv-SE"/>
                </w:rPr>
                <w:t>.</w:t>
              </w:r>
            </w:p>
            <w:p w14:paraId="631C3F99" w14:textId="1C48C891" w:rsidR="00933B65" w:rsidRDefault="00933B65" w:rsidP="00933B65">
              <w:pPr>
                <w:ind w:left="284" w:hanging="284"/>
                <w:jc w:val="both"/>
                <w:rPr>
                  <w:rFonts w:asciiTheme="minorHAnsi" w:hAnsiTheme="minorHAnsi"/>
                  <w:lang w:val="sv-SE"/>
                </w:rPr>
              </w:pPr>
              <w:r w:rsidRPr="00933B65">
                <w:rPr>
                  <w:rFonts w:asciiTheme="minorHAnsi" w:hAnsiTheme="minorHAnsi"/>
                  <w:lang w:val="sv-SE"/>
                </w:rPr>
                <w:t xml:space="preserve">SLL, 2017. Vårdval 10 år: Vad vet vi om dess effekter? Hälso- och sjukvårdsförvaltningen. Dnr: HSN </w:t>
              </w:r>
              <w:proofErr w:type="gramStart"/>
              <w:r w:rsidRPr="00933B65">
                <w:rPr>
                  <w:rFonts w:asciiTheme="minorHAnsi" w:hAnsiTheme="minorHAnsi"/>
                  <w:lang w:val="sv-SE"/>
                </w:rPr>
                <w:t>2017-1485</w:t>
              </w:r>
              <w:proofErr w:type="gramEnd"/>
              <w:r w:rsidRPr="00933B65">
                <w:rPr>
                  <w:rFonts w:asciiTheme="minorHAnsi" w:hAnsiTheme="minorHAnsi"/>
                  <w:lang w:val="sv-SE"/>
                </w:rPr>
                <w:t>.</w:t>
              </w:r>
            </w:p>
            <w:p w14:paraId="558D09C7" w14:textId="74B8F16A" w:rsidR="00933B65" w:rsidRPr="00485A0B" w:rsidRDefault="00933B65" w:rsidP="00077ED6">
              <w:pPr>
                <w:ind w:left="284" w:hanging="284"/>
                <w:jc w:val="both"/>
                <w:rPr>
                  <w:rFonts w:asciiTheme="minorHAnsi" w:hAnsiTheme="minorHAnsi"/>
                  <w:lang w:val="en-US"/>
                </w:rPr>
              </w:pPr>
              <w:r w:rsidRPr="0001366C">
                <w:rPr>
                  <w:rFonts w:asciiTheme="minorHAnsi" w:hAnsiTheme="minorHAnsi"/>
                  <w:lang w:val="en-US"/>
                </w:rPr>
                <w:t xml:space="preserve">Sloan F.A., Valdmanis V.G., 2023. </w:t>
              </w:r>
              <w:proofErr w:type="gramStart"/>
              <w:r w:rsidR="00DB0E6D" w:rsidRPr="0001366C">
                <w:rPr>
                  <w:rFonts w:asciiTheme="minorHAnsi" w:hAnsiTheme="minorHAnsi"/>
                  <w:lang w:val="en-US"/>
                </w:rPr>
                <w:t>”</w:t>
              </w:r>
              <w:r w:rsidRPr="0001366C">
                <w:rPr>
                  <w:rFonts w:asciiTheme="minorHAnsi" w:hAnsiTheme="minorHAnsi"/>
                  <w:lang w:val="en-US"/>
                </w:rPr>
                <w:t>Relative</w:t>
              </w:r>
              <w:proofErr w:type="gramEnd"/>
              <w:r w:rsidRPr="0001366C">
                <w:rPr>
                  <w:rFonts w:asciiTheme="minorHAnsi" w:hAnsiTheme="minorHAnsi"/>
                  <w:lang w:val="en-US"/>
                </w:rPr>
                <w:t xml:space="preserve"> Productivity of For-Profit Hospitals: A Big or a Little Deal?</w:t>
              </w:r>
              <w:r w:rsidR="00D9235C" w:rsidRPr="0001366C">
                <w:rPr>
                  <w:rFonts w:asciiTheme="minorHAnsi" w:hAnsiTheme="minorHAnsi"/>
                  <w:lang w:val="en-US"/>
                </w:rPr>
                <w:t>”</w:t>
              </w:r>
              <w:r w:rsidRPr="0001366C">
                <w:rPr>
                  <w:rFonts w:asciiTheme="minorHAnsi" w:hAnsiTheme="minorHAnsi"/>
                  <w:lang w:val="en-US"/>
                </w:rPr>
                <w:t xml:space="preserve"> </w:t>
              </w:r>
              <w:r w:rsidRPr="00485A0B">
                <w:rPr>
                  <w:rFonts w:asciiTheme="minorHAnsi" w:hAnsiTheme="minorHAnsi"/>
                  <w:lang w:val="en-US"/>
                </w:rPr>
                <w:t>Medical Care Research and Review. 2023;0(0). doi:10.1177/10775587221142268</w:t>
              </w:r>
            </w:p>
            <w:p w14:paraId="336CCC47" w14:textId="1FD3132C" w:rsidR="00912D1C" w:rsidRPr="009E4A8A" w:rsidRDefault="00912D1C" w:rsidP="00912D1C">
              <w:pPr>
                <w:ind w:left="284" w:hanging="284"/>
                <w:jc w:val="both"/>
                <w:rPr>
                  <w:rFonts w:asciiTheme="minorHAnsi" w:hAnsiTheme="minorHAnsi"/>
                  <w:lang w:val="sv-SE"/>
                </w:rPr>
              </w:pPr>
              <w:r w:rsidRPr="00485A0B">
                <w:rPr>
                  <w:rFonts w:asciiTheme="minorHAnsi" w:hAnsiTheme="minorHAnsi"/>
                  <w:lang w:val="en-US"/>
                </w:rPr>
                <w:t>SKR. 2024</w:t>
              </w:r>
              <w:r w:rsidR="00C81695" w:rsidRPr="00485A0B">
                <w:rPr>
                  <w:rFonts w:asciiTheme="minorHAnsi" w:hAnsiTheme="minorHAnsi"/>
                  <w:lang w:val="en-US"/>
                </w:rPr>
                <w:t>a</w:t>
              </w:r>
              <w:r w:rsidRPr="00485A0B">
                <w:rPr>
                  <w:rFonts w:asciiTheme="minorHAnsi" w:hAnsiTheme="minorHAnsi"/>
                  <w:lang w:val="en-US"/>
                </w:rPr>
                <w:t>. “</w:t>
              </w:r>
              <w:proofErr w:type="spellStart"/>
              <w:r w:rsidRPr="00485A0B">
                <w:rPr>
                  <w:rFonts w:asciiTheme="minorHAnsi" w:hAnsiTheme="minorHAnsi"/>
                  <w:lang w:val="en-US"/>
                </w:rPr>
                <w:t>Verksamhetsstatistik</w:t>
              </w:r>
              <w:proofErr w:type="spellEnd"/>
              <w:r w:rsidRPr="00485A0B">
                <w:rPr>
                  <w:rFonts w:asciiTheme="minorHAnsi" w:hAnsiTheme="minorHAnsi"/>
                  <w:lang w:val="en-US"/>
                </w:rPr>
                <w:t xml:space="preserve"> </w:t>
              </w:r>
              <w:r w:rsidR="00AE3C6F" w:rsidRPr="00485A0B">
                <w:rPr>
                  <w:rFonts w:asciiTheme="minorHAnsi" w:hAnsiTheme="minorHAnsi"/>
                  <w:lang w:val="en-US"/>
                </w:rPr>
                <w:t>2013–2022</w:t>
              </w:r>
              <w:r w:rsidRPr="00485A0B">
                <w:rPr>
                  <w:rFonts w:asciiTheme="minorHAnsi" w:hAnsiTheme="minorHAnsi"/>
                  <w:lang w:val="en-US"/>
                </w:rPr>
                <w:t xml:space="preserve">”. </w:t>
              </w:r>
              <w:r w:rsidRPr="009E4A8A">
                <w:rPr>
                  <w:rFonts w:asciiTheme="minorHAnsi" w:hAnsiTheme="minorHAnsi"/>
                  <w:lang w:val="sv-SE"/>
                </w:rPr>
                <w:t xml:space="preserve">Statistik för verksamhetsåret 2022. </w:t>
              </w:r>
              <w:hyperlink r:id="rId25" w:history="1">
                <w:r w:rsidRPr="009E4A8A">
                  <w:rPr>
                    <w:rStyle w:val="Hyperlnk"/>
                    <w:rFonts w:asciiTheme="minorHAnsi" w:hAnsiTheme="minorHAnsi"/>
                    <w:lang w:val="sv-SE"/>
                  </w:rPr>
                  <w:t>https://skr.se/download/18.20fc4f3e18a1757f8fcb7ee7/1693991409961/Ekonomistatistik%202013-2022%200904.xlsx</w:t>
                </w:r>
              </w:hyperlink>
              <w:r w:rsidRPr="009E4A8A">
                <w:rPr>
                  <w:rFonts w:asciiTheme="minorHAnsi" w:hAnsiTheme="minorHAnsi"/>
                  <w:lang w:val="sv-SE"/>
                </w:rPr>
                <w:t xml:space="preserve"> </w:t>
              </w:r>
            </w:p>
            <w:p w14:paraId="281B0299" w14:textId="18FBA917" w:rsidR="00C81695" w:rsidRPr="00140434" w:rsidRDefault="00C81695" w:rsidP="00C81695">
              <w:pPr>
                <w:ind w:left="284" w:hanging="284"/>
                <w:jc w:val="both"/>
                <w:rPr>
                  <w:rFonts w:asciiTheme="minorHAnsi" w:hAnsiTheme="minorHAnsi"/>
                  <w:lang w:val="sv-SE"/>
                </w:rPr>
              </w:pPr>
              <w:r w:rsidRPr="009E4A8A">
                <w:rPr>
                  <w:rFonts w:asciiTheme="minorHAnsi" w:hAnsiTheme="minorHAnsi"/>
                  <w:lang w:val="sv-SE"/>
                </w:rPr>
                <w:t xml:space="preserve">SKR. 2024b. “Regionernas valfrihetssystem 2023”. Införda valfrihetssystem 2007 och framåt. </w:t>
              </w:r>
              <w:hyperlink r:id="rId26" w:anchor="esc_entry=338&amp;esc_context=1" w:history="1">
                <w:r w:rsidRPr="00140434">
                  <w:rPr>
                    <w:rStyle w:val="Hyperlnk"/>
                    <w:rFonts w:asciiTheme="minorHAnsi" w:hAnsiTheme="minorHAnsi"/>
                    <w:lang w:val="sv-SE"/>
                  </w:rPr>
                  <w:t>https://skr.se/skr/tjanster/dataset#esc_entry=338&amp;esc_context=1</w:t>
                </w:r>
              </w:hyperlink>
              <w:r w:rsidR="00E10BCF" w:rsidRPr="00140434">
                <w:rPr>
                  <w:rFonts w:asciiTheme="minorHAnsi" w:hAnsiTheme="minorHAnsi"/>
                  <w:lang w:val="sv-SE"/>
                </w:rPr>
                <w:t>.</w:t>
              </w:r>
            </w:p>
            <w:p w14:paraId="3A8821B8" w14:textId="153081EC" w:rsidR="00067385" w:rsidRDefault="008F5FA8" w:rsidP="00067385">
              <w:pPr>
                <w:ind w:left="284" w:hanging="284"/>
                <w:jc w:val="both"/>
                <w:rPr>
                  <w:rFonts w:asciiTheme="minorHAnsi" w:hAnsiTheme="minorHAnsi"/>
                  <w:lang w:val="sv-SE"/>
                </w:rPr>
              </w:pPr>
              <w:r w:rsidRPr="009E4A8A">
                <w:rPr>
                  <w:rFonts w:asciiTheme="minorHAnsi" w:hAnsiTheme="minorHAnsi"/>
                  <w:lang w:val="sv-SE"/>
                </w:rPr>
                <w:t>SKR. 2024</w:t>
              </w:r>
              <w:r>
                <w:rPr>
                  <w:rFonts w:asciiTheme="minorHAnsi" w:hAnsiTheme="minorHAnsi"/>
                  <w:lang w:val="sv-SE"/>
                </w:rPr>
                <w:t>c</w:t>
              </w:r>
              <w:r w:rsidRPr="009E4A8A">
                <w:rPr>
                  <w:rFonts w:asciiTheme="minorHAnsi" w:hAnsiTheme="minorHAnsi"/>
                  <w:lang w:val="sv-SE"/>
                </w:rPr>
                <w:t>.</w:t>
              </w:r>
              <w:r w:rsidR="00443916">
                <w:rPr>
                  <w:rFonts w:asciiTheme="minorHAnsi" w:hAnsiTheme="minorHAnsi"/>
                  <w:lang w:val="sv-SE"/>
                </w:rPr>
                <w:t xml:space="preserve"> ”</w:t>
              </w:r>
              <w:r w:rsidR="00443916" w:rsidRPr="00443916">
                <w:rPr>
                  <w:rFonts w:asciiTheme="minorHAnsi" w:hAnsiTheme="minorHAnsi"/>
                  <w:lang w:val="sv-SE"/>
                </w:rPr>
                <w:t>Vårdprisindex, VPI</w:t>
              </w:r>
              <w:r w:rsidR="00443916">
                <w:rPr>
                  <w:rFonts w:asciiTheme="minorHAnsi" w:hAnsiTheme="minorHAnsi"/>
                  <w:lang w:val="sv-SE"/>
                </w:rPr>
                <w:t xml:space="preserve">.” </w:t>
              </w:r>
              <w:r>
                <w:rPr>
                  <w:rFonts w:asciiTheme="minorHAnsi" w:hAnsiTheme="minorHAnsi"/>
                  <w:lang w:val="sv-SE"/>
                </w:rPr>
                <w:t>Data hämtad från</w:t>
              </w:r>
              <w:r w:rsidR="0070299F">
                <w:rPr>
                  <w:rFonts w:asciiTheme="minorHAnsi" w:hAnsiTheme="minorHAnsi"/>
                  <w:lang w:val="sv-SE"/>
                </w:rPr>
                <w:t xml:space="preserve"> SKR:s hemsida: </w:t>
              </w:r>
              <w:hyperlink r:id="rId27" w:history="1">
                <w:r w:rsidR="00443916" w:rsidRPr="00443916">
                  <w:rPr>
                    <w:rStyle w:val="Hyperlnk"/>
                    <w:rFonts w:asciiTheme="minorHAnsi" w:hAnsiTheme="minorHAnsi"/>
                    <w:lang w:val="sv-SE"/>
                  </w:rPr>
                  <w:t>https://skr.se/download/18.1055b2c8184b406e1d37d6b1/1680702557621/2022-11-VPI-2022.xlsx</w:t>
                </w:r>
              </w:hyperlink>
              <w:r w:rsidR="0070299F">
                <w:rPr>
                  <w:rFonts w:asciiTheme="minorHAnsi" w:hAnsiTheme="minorHAnsi"/>
                  <w:lang w:val="sv-SE"/>
                </w:rPr>
                <w:t xml:space="preserve">. </w:t>
              </w:r>
            </w:p>
            <w:p w14:paraId="2971B894" w14:textId="202DC985" w:rsidR="0070299F" w:rsidRDefault="0070299F" w:rsidP="0070299F">
              <w:pPr>
                <w:ind w:left="284" w:hanging="284"/>
                <w:jc w:val="both"/>
                <w:rPr>
                  <w:rFonts w:asciiTheme="minorHAnsi" w:hAnsiTheme="minorHAnsi"/>
                  <w:lang w:val="sv-SE"/>
                </w:rPr>
              </w:pPr>
              <w:r w:rsidRPr="009E4A8A">
                <w:rPr>
                  <w:rFonts w:asciiTheme="minorHAnsi" w:hAnsiTheme="minorHAnsi"/>
                  <w:lang w:val="sv-SE"/>
                </w:rPr>
                <w:t>SKR. 2024</w:t>
              </w:r>
              <w:r>
                <w:rPr>
                  <w:rFonts w:asciiTheme="minorHAnsi" w:hAnsiTheme="minorHAnsi"/>
                  <w:lang w:val="sv-SE"/>
                </w:rPr>
                <w:t>d</w:t>
              </w:r>
              <w:r w:rsidRPr="009E4A8A">
                <w:rPr>
                  <w:rFonts w:asciiTheme="minorHAnsi" w:hAnsiTheme="minorHAnsi"/>
                  <w:lang w:val="sv-SE"/>
                </w:rPr>
                <w:t xml:space="preserve">. </w:t>
              </w:r>
              <w:r>
                <w:rPr>
                  <w:rFonts w:asciiTheme="minorHAnsi" w:hAnsiTheme="minorHAnsi"/>
                  <w:lang w:val="sv-SE"/>
                </w:rPr>
                <w:t xml:space="preserve">”Väntetider i vården”. </w:t>
              </w:r>
              <w:r w:rsidRPr="008F5FA8">
                <w:rPr>
                  <w:rFonts w:asciiTheme="minorHAnsi" w:hAnsiTheme="minorHAnsi"/>
                  <w:lang w:val="sv-SE"/>
                </w:rPr>
                <w:t>Genomförda första besök inom 90 dagar i ögonsjukvård</w:t>
              </w:r>
              <w:r>
                <w:rPr>
                  <w:rFonts w:asciiTheme="minorHAnsi" w:hAnsiTheme="minorHAnsi"/>
                  <w:lang w:val="sv-SE"/>
                </w:rPr>
                <w:t xml:space="preserve">. Data hämtad från </w:t>
              </w:r>
              <w:hyperlink r:id="rId28" w:history="1">
                <w:r w:rsidRPr="00094465">
                  <w:rPr>
                    <w:rStyle w:val="Hyperlnk"/>
                    <w:rFonts w:asciiTheme="minorHAnsi" w:hAnsiTheme="minorHAnsi"/>
                    <w:lang w:val="sv-SE"/>
                  </w:rPr>
                  <w:t>https://vardenisiffror.se/</w:t>
                </w:r>
              </w:hyperlink>
              <w:r>
                <w:rPr>
                  <w:rFonts w:asciiTheme="minorHAnsi" w:hAnsiTheme="minorHAnsi"/>
                  <w:lang w:val="sv-SE"/>
                </w:rPr>
                <w:t xml:space="preserve">.  </w:t>
              </w:r>
            </w:p>
            <w:p w14:paraId="0C592741" w14:textId="27879A7B" w:rsidR="007261F7" w:rsidRDefault="007261F7" w:rsidP="007261F7">
              <w:pPr>
                <w:ind w:left="284" w:hanging="284"/>
                <w:jc w:val="both"/>
                <w:rPr>
                  <w:rFonts w:asciiTheme="minorHAnsi" w:hAnsiTheme="minorHAnsi"/>
                  <w:lang w:val="sv-SE"/>
                </w:rPr>
              </w:pPr>
              <w:r w:rsidRPr="009E4A8A">
                <w:rPr>
                  <w:rFonts w:asciiTheme="minorHAnsi" w:hAnsiTheme="minorHAnsi"/>
                  <w:lang w:val="sv-SE"/>
                </w:rPr>
                <w:t>SKR. 2024</w:t>
              </w:r>
              <w:r>
                <w:rPr>
                  <w:rFonts w:asciiTheme="minorHAnsi" w:hAnsiTheme="minorHAnsi"/>
                  <w:lang w:val="sv-SE"/>
                </w:rPr>
                <w:t>e. ”</w:t>
              </w:r>
              <w:r w:rsidRPr="007261F7">
                <w:rPr>
                  <w:rFonts w:asciiTheme="minorHAnsi" w:hAnsiTheme="minorHAnsi"/>
                  <w:lang w:val="sv-SE"/>
                </w:rPr>
                <w:t>Medel- och medianväntetid</w:t>
              </w:r>
              <w:r>
                <w:rPr>
                  <w:rFonts w:asciiTheme="minorHAnsi" w:hAnsiTheme="minorHAnsi"/>
                  <w:lang w:val="sv-SE"/>
                </w:rPr>
                <w:t xml:space="preserve">.” Data hämtad från </w:t>
              </w:r>
              <w:hyperlink r:id="rId29" w:history="1">
                <w:r w:rsidRPr="00001B3E">
                  <w:rPr>
                    <w:rStyle w:val="Hyperlnk"/>
                    <w:rFonts w:asciiTheme="minorHAnsi" w:hAnsiTheme="minorHAnsi"/>
                    <w:lang w:val="sv-SE"/>
                  </w:rPr>
                  <w:t>https://skr.se/vantetiderivarden/vantetidsstatistik/uppskattadvantetidochledigkapacitet/medelochmedianvantetid.73770.html</w:t>
                </w:r>
              </w:hyperlink>
              <w:r>
                <w:rPr>
                  <w:rFonts w:asciiTheme="minorHAnsi" w:hAnsiTheme="minorHAnsi"/>
                  <w:lang w:val="sv-SE"/>
                </w:rPr>
                <w:t xml:space="preserve">. </w:t>
              </w:r>
            </w:p>
            <w:p w14:paraId="0A34A645" w14:textId="49FE441E" w:rsidR="00067385" w:rsidRDefault="00067385" w:rsidP="00067385">
              <w:pPr>
                <w:ind w:left="284" w:hanging="284"/>
                <w:jc w:val="both"/>
                <w:rPr>
                  <w:rFonts w:asciiTheme="minorHAnsi" w:hAnsiTheme="minorHAnsi"/>
                  <w:lang w:val="sv-SE"/>
                </w:rPr>
              </w:pPr>
              <w:r>
                <w:rPr>
                  <w:rFonts w:asciiTheme="minorHAnsi" w:hAnsiTheme="minorHAnsi"/>
                  <w:lang w:val="sv-SE"/>
                </w:rPr>
                <w:t>Socialdemokraterna</w:t>
              </w:r>
              <w:r w:rsidRPr="009E4A8A">
                <w:rPr>
                  <w:rFonts w:asciiTheme="minorHAnsi" w:hAnsiTheme="minorHAnsi"/>
                  <w:lang w:val="sv-SE"/>
                </w:rPr>
                <w:t xml:space="preserve">. </w:t>
              </w:r>
              <w:r>
                <w:rPr>
                  <w:rFonts w:asciiTheme="minorHAnsi" w:hAnsiTheme="minorHAnsi"/>
                  <w:lang w:val="sv-SE"/>
                </w:rPr>
                <w:t>2022</w:t>
              </w:r>
              <w:r w:rsidRPr="009E4A8A">
                <w:rPr>
                  <w:rFonts w:asciiTheme="minorHAnsi" w:hAnsiTheme="minorHAnsi"/>
                  <w:lang w:val="sv-SE"/>
                </w:rPr>
                <w:t>. “</w:t>
              </w:r>
              <w:r w:rsidRPr="00502D5C">
                <w:rPr>
                  <w:rFonts w:asciiTheme="minorHAnsi" w:hAnsiTheme="minorHAnsi"/>
                  <w:lang w:val="sv-SE"/>
                </w:rPr>
                <w:t>Sätt stopp för sönderprivatiseringen</w:t>
              </w:r>
              <w:r w:rsidRPr="009E4A8A">
                <w:rPr>
                  <w:rFonts w:asciiTheme="minorHAnsi" w:hAnsiTheme="minorHAnsi"/>
                  <w:lang w:val="sv-SE"/>
                </w:rPr>
                <w:t xml:space="preserve">”. </w:t>
              </w:r>
              <w:r>
                <w:rPr>
                  <w:rFonts w:asciiTheme="minorHAnsi" w:hAnsiTheme="minorHAnsi"/>
                  <w:lang w:val="sv-SE"/>
                </w:rPr>
                <w:t xml:space="preserve">Pressmeddelande, </w:t>
              </w:r>
              <w:hyperlink r:id="rId30" w:history="1">
                <w:r w:rsidRPr="00262C02">
                  <w:rPr>
                    <w:rStyle w:val="Hyperlnk"/>
                    <w:rFonts w:asciiTheme="minorHAnsi" w:hAnsiTheme="minorHAnsi"/>
                    <w:lang w:val="sv-SE"/>
                  </w:rPr>
                  <w:t>https://via.tt.se/pressmeddelande/3328145/satt-stopp-for-sonderprivatiseringen?publisherId=142377</w:t>
                </w:r>
              </w:hyperlink>
              <w:r>
                <w:rPr>
                  <w:rFonts w:asciiTheme="minorHAnsi" w:hAnsiTheme="minorHAnsi"/>
                  <w:lang w:val="sv-SE"/>
                </w:rPr>
                <w:t>.</w:t>
              </w:r>
            </w:p>
            <w:p w14:paraId="332BBA8D" w14:textId="28B2F0D1" w:rsidR="005F2844" w:rsidRPr="00FF04BD" w:rsidRDefault="005F2844" w:rsidP="005F2844">
              <w:pPr>
                <w:ind w:left="284" w:hanging="284"/>
                <w:jc w:val="both"/>
                <w:rPr>
                  <w:rFonts w:asciiTheme="minorHAnsi" w:hAnsiTheme="minorHAnsi"/>
                  <w:lang w:val="nb-NO"/>
                </w:rPr>
              </w:pPr>
              <w:r>
                <w:rPr>
                  <w:rFonts w:asciiTheme="minorHAnsi" w:hAnsiTheme="minorHAnsi"/>
                  <w:lang w:val="sv-SE"/>
                </w:rPr>
                <w:lastRenderedPageBreak/>
                <w:t>Socialstyrelsen</w:t>
              </w:r>
              <w:r w:rsidRPr="009E4A8A">
                <w:rPr>
                  <w:rFonts w:asciiTheme="minorHAnsi" w:hAnsiTheme="minorHAnsi"/>
                  <w:lang w:val="sv-SE"/>
                </w:rPr>
                <w:t xml:space="preserve">. </w:t>
              </w:r>
              <w:r>
                <w:rPr>
                  <w:rFonts w:asciiTheme="minorHAnsi" w:hAnsiTheme="minorHAnsi"/>
                  <w:lang w:val="sv-SE"/>
                </w:rPr>
                <w:t>2024</w:t>
              </w:r>
              <w:r w:rsidRPr="009E4A8A">
                <w:rPr>
                  <w:rFonts w:asciiTheme="minorHAnsi" w:hAnsiTheme="minorHAnsi"/>
                  <w:lang w:val="sv-SE"/>
                </w:rPr>
                <w:t xml:space="preserve">. </w:t>
              </w:r>
              <w:r>
                <w:rPr>
                  <w:rFonts w:asciiTheme="minorHAnsi" w:hAnsiTheme="minorHAnsi"/>
                  <w:lang w:val="sv-SE"/>
                </w:rPr>
                <w:t xml:space="preserve">Data hämtad från statistikdatabasen för diagnoser. </w:t>
              </w:r>
              <w:hyperlink r:id="rId31" w:history="1">
                <w:r w:rsidRPr="00FF04BD">
                  <w:rPr>
                    <w:rStyle w:val="Hyperlnk"/>
                    <w:rFonts w:asciiTheme="minorHAnsi" w:hAnsiTheme="minorHAnsi"/>
                    <w:lang w:val="nb-NO"/>
                  </w:rPr>
                  <w:t>https://sdb.socialstyrelsen.se/if_par/val.aspx</w:t>
                </w:r>
              </w:hyperlink>
              <w:r w:rsidRPr="00FF04BD">
                <w:rPr>
                  <w:rFonts w:asciiTheme="minorHAnsi" w:hAnsiTheme="minorHAnsi"/>
                  <w:lang w:val="nb-NO"/>
                </w:rPr>
                <w:t xml:space="preserve">. </w:t>
              </w:r>
            </w:p>
            <w:p w14:paraId="05A7D986" w14:textId="18B7E18A" w:rsidR="00E54175" w:rsidRDefault="00E54175" w:rsidP="00E54175">
              <w:pPr>
                <w:ind w:left="284" w:hanging="284"/>
                <w:jc w:val="both"/>
                <w:rPr>
                  <w:rFonts w:asciiTheme="minorHAnsi" w:hAnsiTheme="minorHAnsi"/>
                  <w:lang w:val="sv-SE"/>
                </w:rPr>
              </w:pPr>
              <w:r w:rsidRPr="00FF04BD">
                <w:rPr>
                  <w:rFonts w:asciiTheme="minorHAnsi" w:hAnsiTheme="minorHAnsi"/>
                  <w:lang w:val="nb-NO"/>
                </w:rPr>
                <w:t xml:space="preserve">Steiner, Hamilton. </w:t>
              </w:r>
              <w:r>
                <w:rPr>
                  <w:rFonts w:asciiTheme="minorHAnsi" w:hAnsiTheme="minorHAnsi"/>
                  <w:lang w:val="sv-SE"/>
                </w:rPr>
                <w:t>2022</w:t>
              </w:r>
              <w:r w:rsidRPr="009E4A8A">
                <w:rPr>
                  <w:rFonts w:asciiTheme="minorHAnsi" w:hAnsiTheme="minorHAnsi"/>
                  <w:lang w:val="sv-SE"/>
                </w:rPr>
                <w:t>. “</w:t>
              </w:r>
              <w:r w:rsidRPr="00E10BCF">
                <w:rPr>
                  <w:rFonts w:asciiTheme="minorHAnsi" w:hAnsiTheme="minorHAnsi"/>
                  <w:lang w:val="sv-SE"/>
                </w:rPr>
                <w:t>Regionen ska ta över 1177 – vill hänvisa färre till akuten</w:t>
              </w:r>
              <w:r w:rsidRPr="009E4A8A">
                <w:rPr>
                  <w:rFonts w:asciiTheme="minorHAnsi" w:hAnsiTheme="minorHAnsi"/>
                  <w:lang w:val="sv-SE"/>
                </w:rPr>
                <w:t xml:space="preserve">”, </w:t>
              </w:r>
              <w:r>
                <w:rPr>
                  <w:rFonts w:asciiTheme="minorHAnsi" w:hAnsiTheme="minorHAnsi"/>
                  <w:lang w:val="sv-SE"/>
                </w:rPr>
                <w:t xml:space="preserve">Dagens </w:t>
              </w:r>
              <w:proofErr w:type="gramStart"/>
              <w:r>
                <w:rPr>
                  <w:rFonts w:asciiTheme="minorHAnsi" w:hAnsiTheme="minorHAnsi"/>
                  <w:lang w:val="sv-SE"/>
                </w:rPr>
                <w:t>Nyheter</w:t>
              </w:r>
              <w:r w:rsidRPr="009E4A8A">
                <w:rPr>
                  <w:rFonts w:asciiTheme="minorHAnsi" w:hAnsiTheme="minorHAnsi"/>
                  <w:lang w:val="sv-SE"/>
                </w:rPr>
                <w:t xml:space="preserve">,  </w:t>
              </w:r>
              <w:r>
                <w:rPr>
                  <w:rFonts w:asciiTheme="minorHAnsi" w:hAnsiTheme="minorHAnsi"/>
                  <w:lang w:val="sv-SE"/>
                </w:rPr>
                <w:t>11</w:t>
              </w:r>
              <w:proofErr w:type="gramEnd"/>
              <w:r>
                <w:rPr>
                  <w:rFonts w:asciiTheme="minorHAnsi" w:hAnsiTheme="minorHAnsi"/>
                  <w:lang w:val="sv-SE"/>
                </w:rPr>
                <w:t>:e november 2022</w:t>
              </w:r>
              <w:r w:rsidRPr="009E4A8A">
                <w:rPr>
                  <w:rFonts w:asciiTheme="minorHAnsi" w:hAnsiTheme="minorHAnsi"/>
                  <w:lang w:val="sv-SE"/>
                </w:rPr>
                <w:t xml:space="preserve">, </w:t>
              </w:r>
              <w:hyperlink r:id="rId32" w:history="1">
                <w:r w:rsidRPr="00CA58FB">
                  <w:rPr>
                    <w:rStyle w:val="Hyperlnk"/>
                    <w:rFonts w:asciiTheme="minorHAnsi" w:hAnsiTheme="minorHAnsi"/>
                    <w:lang w:val="sv-SE"/>
                  </w:rPr>
                  <w:t>https://www.dn.se/sverige/regionen-ska-ta-over-1177-vill-hanvisa-farre-till-akuten/</w:t>
                </w:r>
              </w:hyperlink>
              <w:r>
                <w:rPr>
                  <w:rFonts w:asciiTheme="minorHAnsi" w:hAnsiTheme="minorHAnsi"/>
                  <w:lang w:val="sv-SE"/>
                </w:rPr>
                <w:t xml:space="preserve">. </w:t>
              </w:r>
            </w:p>
            <w:p w14:paraId="0BB86B9A" w14:textId="6F3823D9" w:rsidR="00163C7D" w:rsidRPr="00693C62" w:rsidRDefault="00163C7D" w:rsidP="00163C7D">
              <w:pPr>
                <w:ind w:left="284" w:hanging="284"/>
                <w:jc w:val="both"/>
                <w:rPr>
                  <w:rFonts w:asciiTheme="minorHAnsi" w:hAnsiTheme="minorHAnsi"/>
                  <w:lang w:val="en-US"/>
                </w:rPr>
              </w:pPr>
              <w:proofErr w:type="spellStart"/>
              <w:r w:rsidRPr="00693C62">
                <w:rPr>
                  <w:rFonts w:asciiTheme="minorHAnsi" w:hAnsiTheme="minorHAnsi"/>
                  <w:lang w:val="en-US"/>
                </w:rPr>
                <w:t>Strumann</w:t>
              </w:r>
              <w:proofErr w:type="spellEnd"/>
              <w:r w:rsidRPr="00693C62">
                <w:rPr>
                  <w:rFonts w:asciiTheme="minorHAnsi" w:hAnsiTheme="minorHAnsi"/>
                  <w:lang w:val="en-US"/>
                </w:rPr>
                <w:t xml:space="preserve">, Christoph, Alexander Geissler, Reinhard Busse </w:t>
              </w:r>
              <w:proofErr w:type="spellStart"/>
              <w:r w:rsidRPr="00693C62">
                <w:rPr>
                  <w:rFonts w:asciiTheme="minorHAnsi" w:hAnsiTheme="minorHAnsi"/>
                  <w:lang w:val="en-US"/>
                </w:rPr>
                <w:t>och</w:t>
              </w:r>
              <w:proofErr w:type="spellEnd"/>
              <w:r w:rsidRPr="00693C62">
                <w:rPr>
                  <w:rFonts w:asciiTheme="minorHAnsi" w:hAnsiTheme="minorHAnsi"/>
                  <w:lang w:val="en-US"/>
                </w:rPr>
                <w:t xml:space="preserve"> Christoph Pross, 2022. </w:t>
              </w:r>
              <w:proofErr w:type="gramStart"/>
              <w:r w:rsidRPr="00693C62">
                <w:rPr>
                  <w:rFonts w:asciiTheme="minorHAnsi" w:hAnsiTheme="minorHAnsi"/>
                  <w:lang w:val="en-US"/>
                </w:rPr>
                <w:t>”</w:t>
              </w:r>
              <w:r w:rsidRPr="00163C7D">
                <w:rPr>
                  <w:rFonts w:asciiTheme="minorHAnsi" w:hAnsiTheme="minorHAnsi"/>
                  <w:lang w:val="en-US"/>
                </w:rPr>
                <w:t>Can</w:t>
              </w:r>
              <w:proofErr w:type="gramEnd"/>
              <w:r w:rsidRPr="00163C7D">
                <w:rPr>
                  <w:rFonts w:asciiTheme="minorHAnsi" w:hAnsiTheme="minorHAnsi"/>
                  <w:lang w:val="en-US"/>
                </w:rPr>
                <w:t xml:space="preserve"> competition improve hospital quality of care? A difference-in-differences approach to evaluate the effect of increasing quality transparency on hospital quality</w:t>
              </w:r>
              <w:r>
                <w:rPr>
                  <w:rFonts w:asciiTheme="minorHAnsi" w:hAnsiTheme="minorHAnsi"/>
                  <w:lang w:val="en-US"/>
                </w:rPr>
                <w:t>.”</w:t>
              </w:r>
              <w:r w:rsidRPr="0001366C">
                <w:rPr>
                  <w:rFonts w:asciiTheme="minorHAnsi" w:hAnsiTheme="minorHAnsi"/>
                  <w:lang w:val="en-US"/>
                </w:rPr>
                <w:t xml:space="preserve"> </w:t>
              </w:r>
              <w:r>
                <w:rPr>
                  <w:rFonts w:asciiTheme="minorHAnsi" w:hAnsiTheme="minorHAnsi"/>
                  <w:lang w:val="en-US"/>
                </w:rPr>
                <w:t>European Journal of Health Economics</w:t>
              </w:r>
              <w:r w:rsidRPr="0001366C">
                <w:rPr>
                  <w:rFonts w:asciiTheme="minorHAnsi" w:hAnsiTheme="minorHAnsi"/>
                  <w:lang w:val="en-US"/>
                </w:rPr>
                <w:t xml:space="preserve">, </w:t>
              </w:r>
              <w:r>
                <w:rPr>
                  <w:rFonts w:asciiTheme="minorHAnsi" w:hAnsiTheme="minorHAnsi"/>
                  <w:lang w:val="en-US"/>
                </w:rPr>
                <w:t>23:</w:t>
              </w:r>
              <w:r w:rsidRPr="0001366C">
                <w:rPr>
                  <w:rFonts w:asciiTheme="minorHAnsi" w:hAnsiTheme="minorHAnsi"/>
                  <w:lang w:val="en-US"/>
                </w:rPr>
                <w:t xml:space="preserve"> </w:t>
              </w:r>
              <w:r>
                <w:rPr>
                  <w:rFonts w:asciiTheme="minorHAnsi" w:hAnsiTheme="minorHAnsi"/>
                  <w:lang w:val="en-US"/>
                </w:rPr>
                <w:t>1229–1242</w:t>
              </w:r>
              <w:r w:rsidRPr="0001366C">
                <w:rPr>
                  <w:rFonts w:asciiTheme="minorHAnsi" w:hAnsiTheme="minorHAnsi"/>
                  <w:lang w:val="en-US"/>
                </w:rPr>
                <w:t>.</w:t>
              </w:r>
            </w:p>
            <w:p w14:paraId="7D861A31" w14:textId="320F310F" w:rsidR="00D13E1A" w:rsidRPr="0001366C" w:rsidRDefault="00D13E1A" w:rsidP="00D13E1A">
              <w:pPr>
                <w:ind w:left="284" w:hanging="284"/>
                <w:jc w:val="both"/>
                <w:rPr>
                  <w:rFonts w:asciiTheme="minorHAnsi" w:hAnsiTheme="minorHAnsi"/>
                  <w:lang w:val="en-US"/>
                </w:rPr>
              </w:pPr>
              <w:r w:rsidRPr="00693C62">
                <w:rPr>
                  <w:rFonts w:asciiTheme="minorHAnsi" w:hAnsiTheme="minorHAnsi"/>
                  <w:lang w:val="en-US"/>
                </w:rPr>
                <w:t xml:space="preserve">Tiemann, Oliver </w:t>
              </w:r>
              <w:proofErr w:type="spellStart"/>
              <w:r w:rsidRPr="00693C62">
                <w:rPr>
                  <w:rFonts w:asciiTheme="minorHAnsi" w:hAnsiTheme="minorHAnsi"/>
                  <w:lang w:val="en-US"/>
                </w:rPr>
                <w:t>och</w:t>
              </w:r>
              <w:proofErr w:type="spellEnd"/>
              <w:r w:rsidRPr="00693C62">
                <w:rPr>
                  <w:rFonts w:asciiTheme="minorHAnsi" w:hAnsiTheme="minorHAnsi"/>
                  <w:lang w:val="en-US"/>
                </w:rPr>
                <w:t xml:space="preserve"> Jonas </w:t>
              </w:r>
              <w:proofErr w:type="spellStart"/>
              <w:r w:rsidRPr="00693C62">
                <w:rPr>
                  <w:rFonts w:asciiTheme="minorHAnsi" w:hAnsiTheme="minorHAnsi"/>
                  <w:lang w:val="en-US"/>
                </w:rPr>
                <w:t>Schreyögg</w:t>
              </w:r>
              <w:proofErr w:type="spellEnd"/>
              <w:r w:rsidRPr="00693C62">
                <w:rPr>
                  <w:rFonts w:asciiTheme="minorHAnsi" w:hAnsiTheme="minorHAnsi"/>
                  <w:lang w:val="en-US"/>
                </w:rPr>
                <w:t xml:space="preserve">, 2012. </w:t>
              </w:r>
              <w:r w:rsidRPr="0001366C">
                <w:rPr>
                  <w:rFonts w:asciiTheme="minorHAnsi" w:hAnsiTheme="minorHAnsi"/>
                  <w:lang w:val="en-US"/>
                </w:rPr>
                <w:t>Changes in hospital efficiency after privatization, Health Care Management Science, 15: 310–326.</w:t>
              </w:r>
            </w:p>
            <w:p w14:paraId="090714FD" w14:textId="0BAB947A" w:rsidR="00730098" w:rsidRDefault="00730098" w:rsidP="00730098">
              <w:pPr>
                <w:ind w:left="284" w:hanging="284"/>
                <w:jc w:val="both"/>
                <w:rPr>
                  <w:rFonts w:asciiTheme="minorHAnsi" w:hAnsiTheme="minorHAnsi"/>
                  <w:lang w:val="sv-SE"/>
                </w:rPr>
              </w:pPr>
              <w:r>
                <w:rPr>
                  <w:rFonts w:asciiTheme="minorHAnsi" w:hAnsiTheme="minorHAnsi"/>
                  <w:lang w:val="sv-SE"/>
                </w:rPr>
                <w:t xml:space="preserve">Torkelsson, </w:t>
              </w:r>
              <w:r w:rsidR="00E87B00">
                <w:rPr>
                  <w:rFonts w:asciiTheme="minorHAnsi" w:hAnsiTheme="minorHAnsi"/>
                  <w:lang w:val="sv-SE"/>
                </w:rPr>
                <w:t>Anna-Cajsa</w:t>
              </w:r>
              <w:r w:rsidRPr="009E4A8A">
                <w:rPr>
                  <w:rFonts w:asciiTheme="minorHAnsi" w:hAnsiTheme="minorHAnsi"/>
                  <w:lang w:val="sv-SE"/>
                </w:rPr>
                <w:t xml:space="preserve">. </w:t>
              </w:r>
              <w:r w:rsidR="00E87B00">
                <w:rPr>
                  <w:rFonts w:asciiTheme="minorHAnsi" w:hAnsiTheme="minorHAnsi"/>
                  <w:lang w:val="sv-SE"/>
                </w:rPr>
                <w:t>2024</w:t>
              </w:r>
              <w:r w:rsidRPr="009E4A8A">
                <w:rPr>
                  <w:rFonts w:asciiTheme="minorHAnsi" w:hAnsiTheme="minorHAnsi"/>
                  <w:lang w:val="sv-SE"/>
                </w:rPr>
                <w:t>. “</w:t>
              </w:r>
              <w:r w:rsidR="00E87B00" w:rsidRPr="00E87B00">
                <w:rPr>
                  <w:rFonts w:asciiTheme="minorHAnsi" w:hAnsiTheme="minorHAnsi"/>
                  <w:lang w:val="sv-SE"/>
                </w:rPr>
                <w:t>Nya vändningen: Telefonrådgivning via 1177 i regional regi utreds vidare</w:t>
              </w:r>
              <w:r w:rsidRPr="009E4A8A">
                <w:rPr>
                  <w:rFonts w:asciiTheme="minorHAnsi" w:hAnsiTheme="minorHAnsi"/>
                  <w:lang w:val="sv-SE"/>
                </w:rPr>
                <w:t xml:space="preserve">”, </w:t>
              </w:r>
              <w:r w:rsidR="00E87B00">
                <w:rPr>
                  <w:rFonts w:asciiTheme="minorHAnsi" w:hAnsiTheme="minorHAnsi"/>
                  <w:lang w:val="sv-SE"/>
                </w:rPr>
                <w:t xml:space="preserve">Dagens </w:t>
              </w:r>
              <w:proofErr w:type="gramStart"/>
              <w:r w:rsidR="00E87B00">
                <w:rPr>
                  <w:rFonts w:asciiTheme="minorHAnsi" w:hAnsiTheme="minorHAnsi"/>
                  <w:lang w:val="sv-SE"/>
                </w:rPr>
                <w:t>Medicin</w:t>
              </w:r>
              <w:r w:rsidRPr="009E4A8A">
                <w:rPr>
                  <w:rFonts w:asciiTheme="minorHAnsi" w:hAnsiTheme="minorHAnsi"/>
                  <w:lang w:val="sv-SE"/>
                </w:rPr>
                <w:t xml:space="preserve">,  </w:t>
              </w:r>
              <w:r w:rsidR="00E87B00">
                <w:rPr>
                  <w:rFonts w:asciiTheme="minorHAnsi" w:hAnsiTheme="minorHAnsi"/>
                  <w:lang w:val="sv-SE"/>
                </w:rPr>
                <w:t>16</w:t>
              </w:r>
              <w:proofErr w:type="gramEnd"/>
              <w:r w:rsidRPr="009E4A8A">
                <w:rPr>
                  <w:rFonts w:asciiTheme="minorHAnsi" w:hAnsiTheme="minorHAnsi"/>
                  <w:lang w:val="sv-SE"/>
                </w:rPr>
                <w:t xml:space="preserve">:e </w:t>
              </w:r>
              <w:r w:rsidR="00E87B00">
                <w:rPr>
                  <w:rFonts w:asciiTheme="minorHAnsi" w:hAnsiTheme="minorHAnsi"/>
                  <w:lang w:val="sv-SE"/>
                </w:rPr>
                <w:t>februari</w:t>
              </w:r>
              <w:r w:rsidRPr="009E4A8A">
                <w:rPr>
                  <w:rFonts w:asciiTheme="minorHAnsi" w:hAnsiTheme="minorHAnsi"/>
                  <w:lang w:val="sv-SE"/>
                </w:rPr>
                <w:t xml:space="preserve">, </w:t>
              </w:r>
              <w:hyperlink r:id="rId33" w:history="1">
                <w:r w:rsidR="00E87B00" w:rsidRPr="00CA58FB">
                  <w:rPr>
                    <w:rStyle w:val="Hyperlnk"/>
                    <w:rFonts w:asciiTheme="minorHAnsi" w:hAnsiTheme="minorHAnsi"/>
                    <w:lang w:val="sv-SE"/>
                  </w:rPr>
                  <w:t>https://lakartidningen.se/aktuellt/nyheter/2024/02/nya-vandningen-telefonradgivning-via-1177-i-regional-regi-utreds-vidare/</w:t>
                </w:r>
              </w:hyperlink>
              <w:r w:rsidR="00E87B00">
                <w:rPr>
                  <w:rFonts w:asciiTheme="minorHAnsi" w:hAnsiTheme="minorHAnsi"/>
                  <w:lang w:val="sv-SE"/>
                </w:rPr>
                <w:t xml:space="preserve">. </w:t>
              </w:r>
            </w:p>
            <w:p w14:paraId="07C68708" w14:textId="7183C0AB" w:rsidR="003B3D45" w:rsidRDefault="003B3D45" w:rsidP="003B3D45">
              <w:pPr>
                <w:ind w:left="284" w:hanging="284"/>
                <w:jc w:val="both"/>
                <w:rPr>
                  <w:rFonts w:asciiTheme="minorHAnsi" w:hAnsiTheme="minorHAnsi"/>
                  <w:lang w:val="sv-SE"/>
                </w:rPr>
              </w:pPr>
              <w:proofErr w:type="spellStart"/>
              <w:r>
                <w:rPr>
                  <w:rFonts w:asciiTheme="minorHAnsi" w:hAnsiTheme="minorHAnsi"/>
                  <w:lang w:val="sv-SE"/>
                </w:rPr>
                <w:t>Tottmar</w:t>
              </w:r>
              <w:proofErr w:type="spellEnd"/>
              <w:r>
                <w:rPr>
                  <w:rFonts w:asciiTheme="minorHAnsi" w:hAnsiTheme="minorHAnsi"/>
                  <w:lang w:val="sv-SE"/>
                </w:rPr>
                <w:t>, Mia</w:t>
              </w:r>
              <w:r w:rsidRPr="009E4A8A">
                <w:rPr>
                  <w:rFonts w:asciiTheme="minorHAnsi" w:hAnsiTheme="minorHAnsi"/>
                  <w:lang w:val="sv-SE"/>
                </w:rPr>
                <w:t xml:space="preserve">. </w:t>
              </w:r>
              <w:r>
                <w:rPr>
                  <w:rFonts w:asciiTheme="minorHAnsi" w:hAnsiTheme="minorHAnsi"/>
                  <w:lang w:val="sv-SE"/>
                </w:rPr>
                <w:t>2023</w:t>
              </w:r>
              <w:r w:rsidRPr="009E4A8A">
                <w:rPr>
                  <w:rFonts w:asciiTheme="minorHAnsi" w:hAnsiTheme="minorHAnsi"/>
                  <w:lang w:val="sv-SE"/>
                </w:rPr>
                <w:t>. “</w:t>
              </w:r>
              <w:r w:rsidRPr="003B3D45">
                <w:rPr>
                  <w:rFonts w:asciiTheme="minorHAnsi" w:hAnsiTheme="minorHAnsi"/>
                  <w:lang w:val="sv-SE"/>
                </w:rPr>
                <w:t>Region Stockholm slopar vårdval för specialiserad ögonsjukvård</w:t>
              </w:r>
              <w:r w:rsidRPr="009E4A8A">
                <w:rPr>
                  <w:rFonts w:asciiTheme="minorHAnsi" w:hAnsiTheme="minorHAnsi"/>
                  <w:lang w:val="sv-SE"/>
                </w:rPr>
                <w:t xml:space="preserve">”, </w:t>
              </w:r>
              <w:r>
                <w:rPr>
                  <w:rFonts w:asciiTheme="minorHAnsi" w:hAnsiTheme="minorHAnsi"/>
                  <w:lang w:val="sv-SE"/>
                </w:rPr>
                <w:t xml:space="preserve">Dagens </w:t>
              </w:r>
              <w:proofErr w:type="gramStart"/>
              <w:r>
                <w:rPr>
                  <w:rFonts w:asciiTheme="minorHAnsi" w:hAnsiTheme="minorHAnsi"/>
                  <w:lang w:val="sv-SE"/>
                </w:rPr>
                <w:t>Nyheter</w:t>
              </w:r>
              <w:r w:rsidRPr="009E4A8A">
                <w:rPr>
                  <w:rFonts w:asciiTheme="minorHAnsi" w:hAnsiTheme="minorHAnsi"/>
                  <w:lang w:val="sv-SE"/>
                </w:rPr>
                <w:t xml:space="preserve">,  </w:t>
              </w:r>
              <w:r>
                <w:rPr>
                  <w:rFonts w:asciiTheme="minorHAnsi" w:hAnsiTheme="minorHAnsi"/>
                  <w:lang w:val="sv-SE"/>
                </w:rPr>
                <w:t>09</w:t>
              </w:r>
              <w:proofErr w:type="gramEnd"/>
              <w:r w:rsidRPr="009E4A8A">
                <w:rPr>
                  <w:rFonts w:asciiTheme="minorHAnsi" w:hAnsiTheme="minorHAnsi"/>
                  <w:lang w:val="sv-SE"/>
                </w:rPr>
                <w:t xml:space="preserve">:e </w:t>
              </w:r>
              <w:r>
                <w:rPr>
                  <w:rFonts w:asciiTheme="minorHAnsi" w:hAnsiTheme="minorHAnsi"/>
                  <w:lang w:val="sv-SE"/>
                </w:rPr>
                <w:t>november</w:t>
              </w:r>
              <w:r w:rsidRPr="009E4A8A">
                <w:rPr>
                  <w:rFonts w:asciiTheme="minorHAnsi" w:hAnsiTheme="minorHAnsi"/>
                  <w:lang w:val="sv-SE"/>
                </w:rPr>
                <w:t xml:space="preserve">, </w:t>
              </w:r>
              <w:hyperlink r:id="rId34" w:history="1">
                <w:r w:rsidRPr="00D96D5A">
                  <w:rPr>
                    <w:rStyle w:val="Hyperlnk"/>
                    <w:rFonts w:asciiTheme="minorHAnsi" w:hAnsiTheme="minorHAnsi"/>
                    <w:lang w:val="sv-SE"/>
                  </w:rPr>
                  <w:t>https://www.dn.se/sverige/region-stockholm-slopar-vardval-for-specialiserad-ogonsjukvard/</w:t>
                </w:r>
              </w:hyperlink>
              <w:r>
                <w:rPr>
                  <w:rFonts w:asciiTheme="minorHAnsi" w:hAnsiTheme="minorHAnsi"/>
                  <w:lang w:val="sv-SE"/>
                </w:rPr>
                <w:t xml:space="preserve">. </w:t>
              </w:r>
            </w:p>
            <w:p w14:paraId="7A666ABD" w14:textId="77777777" w:rsidR="00933B65" w:rsidRPr="00933B65" w:rsidRDefault="00933B65" w:rsidP="00933B65">
              <w:pPr>
                <w:ind w:left="284" w:hanging="284"/>
                <w:jc w:val="both"/>
                <w:rPr>
                  <w:rFonts w:asciiTheme="minorHAnsi" w:hAnsiTheme="minorHAnsi"/>
                  <w:lang w:val="sv-SE"/>
                </w:rPr>
              </w:pPr>
              <w:r w:rsidRPr="00933B65">
                <w:rPr>
                  <w:rFonts w:asciiTheme="minorHAnsi" w:hAnsiTheme="minorHAnsi"/>
                  <w:lang w:val="sv-SE"/>
                </w:rPr>
                <w:t xml:space="preserve">Wohlin, J., </w:t>
              </w:r>
              <w:proofErr w:type="spellStart"/>
              <w:r w:rsidRPr="00933B65">
                <w:rPr>
                  <w:rFonts w:asciiTheme="minorHAnsi" w:hAnsiTheme="minorHAnsi"/>
                  <w:lang w:val="sv-SE"/>
                </w:rPr>
                <w:t>Stalberg</w:t>
              </w:r>
              <w:proofErr w:type="spellEnd"/>
              <w:r w:rsidRPr="00933B65">
                <w:rPr>
                  <w:rFonts w:asciiTheme="minorHAnsi" w:hAnsiTheme="minorHAnsi"/>
                  <w:lang w:val="sv-SE"/>
                </w:rPr>
                <w:t xml:space="preserve">, H., Ström, O., </w:t>
              </w:r>
              <w:proofErr w:type="spellStart"/>
              <w:r w:rsidRPr="00933B65">
                <w:rPr>
                  <w:rFonts w:asciiTheme="minorHAnsi" w:hAnsiTheme="minorHAnsi"/>
                  <w:lang w:val="sv-SE"/>
                </w:rPr>
                <w:t>Rolfson</w:t>
              </w:r>
              <w:proofErr w:type="spellEnd"/>
              <w:r w:rsidRPr="00933B65">
                <w:rPr>
                  <w:rFonts w:asciiTheme="minorHAnsi" w:hAnsiTheme="minorHAnsi"/>
                  <w:lang w:val="sv-SE"/>
                </w:rPr>
                <w:t xml:space="preserve">, O., Willers, C., </w:t>
              </w:r>
              <w:proofErr w:type="spellStart"/>
              <w:r w:rsidRPr="00933B65">
                <w:rPr>
                  <w:rFonts w:asciiTheme="minorHAnsi" w:hAnsiTheme="minorHAnsi"/>
                  <w:lang w:val="sv-SE"/>
                </w:rPr>
                <w:t>Brommels</w:t>
              </w:r>
              <w:proofErr w:type="spellEnd"/>
              <w:r w:rsidRPr="00933B65">
                <w:rPr>
                  <w:rFonts w:asciiTheme="minorHAnsi" w:hAnsiTheme="minorHAnsi"/>
                  <w:lang w:val="sv-SE"/>
                </w:rPr>
                <w:t>, M., 2016. Nytt ersättningssystem och vårdval höft- och knäprotesoperationer: Uppföljningsrapport. Karolinska Institutet.</w:t>
              </w:r>
            </w:p>
            <w:p w14:paraId="7629E42E" w14:textId="001A7A1F" w:rsidR="00933B65" w:rsidRPr="0001366C" w:rsidRDefault="00933B65" w:rsidP="00933B65">
              <w:pPr>
                <w:ind w:left="284" w:hanging="284"/>
                <w:jc w:val="both"/>
                <w:rPr>
                  <w:rFonts w:asciiTheme="minorHAnsi" w:hAnsiTheme="minorHAnsi"/>
                  <w:lang w:val="en-US"/>
                </w:rPr>
              </w:pPr>
              <w:proofErr w:type="spellStart"/>
              <w:r w:rsidRPr="00933B65">
                <w:rPr>
                  <w:rFonts w:asciiTheme="minorHAnsi" w:hAnsiTheme="minorHAnsi"/>
                  <w:lang w:val="sv-SE"/>
                </w:rPr>
                <w:t>Wübker</w:t>
              </w:r>
              <w:proofErr w:type="spellEnd"/>
              <w:r w:rsidRPr="00933B65">
                <w:rPr>
                  <w:rFonts w:asciiTheme="minorHAnsi" w:hAnsiTheme="minorHAnsi"/>
                  <w:lang w:val="sv-SE"/>
                </w:rPr>
                <w:t xml:space="preserve">, Ansgar </w:t>
              </w:r>
              <w:r w:rsidR="00D13E1A">
                <w:rPr>
                  <w:rFonts w:asciiTheme="minorHAnsi" w:hAnsiTheme="minorHAnsi"/>
                  <w:lang w:val="sv-SE"/>
                </w:rPr>
                <w:t>och</w:t>
              </w:r>
              <w:r w:rsidRPr="00933B65">
                <w:rPr>
                  <w:rFonts w:asciiTheme="minorHAnsi" w:hAnsiTheme="minorHAnsi"/>
                  <w:lang w:val="sv-SE"/>
                </w:rPr>
                <w:t xml:space="preserve"> Christiane </w:t>
              </w:r>
              <w:proofErr w:type="spellStart"/>
              <w:r w:rsidRPr="00933B65">
                <w:rPr>
                  <w:rFonts w:asciiTheme="minorHAnsi" w:hAnsiTheme="minorHAnsi"/>
                  <w:lang w:val="sv-SE"/>
                </w:rPr>
                <w:t>Wuckel</w:t>
              </w:r>
              <w:proofErr w:type="spellEnd"/>
              <w:r w:rsidRPr="00933B65">
                <w:rPr>
                  <w:rFonts w:asciiTheme="minorHAnsi" w:hAnsiTheme="minorHAnsi"/>
                  <w:lang w:val="sv-SE"/>
                </w:rPr>
                <w:t xml:space="preserve">, 2019. </w:t>
              </w:r>
              <w:r w:rsidRPr="0001366C">
                <w:rPr>
                  <w:rFonts w:asciiTheme="minorHAnsi" w:hAnsiTheme="minorHAnsi"/>
                  <w:lang w:val="en-US"/>
                </w:rPr>
                <w:t xml:space="preserve">The Impact of Private </w:t>
              </w:r>
              <w:proofErr w:type="gramStart"/>
              <w:r w:rsidRPr="0001366C">
                <w:rPr>
                  <w:rFonts w:asciiTheme="minorHAnsi" w:hAnsiTheme="minorHAnsi"/>
                  <w:lang w:val="en-US"/>
                </w:rPr>
                <w:t>for-Profit</w:t>
              </w:r>
              <w:proofErr w:type="gramEnd"/>
              <w:r w:rsidRPr="0001366C">
                <w:rPr>
                  <w:rFonts w:asciiTheme="minorHAnsi" w:hAnsiTheme="minorHAnsi"/>
                  <w:lang w:val="en-US"/>
                </w:rPr>
                <w:t xml:space="preserve"> Hospital Ownership on Costs and Quality of Care – Evidence from Germany, </w:t>
              </w:r>
              <w:proofErr w:type="spellStart"/>
              <w:r w:rsidRPr="0001366C">
                <w:rPr>
                  <w:rFonts w:asciiTheme="minorHAnsi" w:hAnsiTheme="minorHAnsi"/>
                  <w:lang w:val="en-US"/>
                </w:rPr>
                <w:t>CESifo</w:t>
              </w:r>
              <w:proofErr w:type="spellEnd"/>
              <w:r w:rsidRPr="0001366C">
                <w:rPr>
                  <w:rFonts w:asciiTheme="minorHAnsi" w:hAnsiTheme="minorHAnsi"/>
                  <w:lang w:val="en-US"/>
                </w:rPr>
                <w:t xml:space="preserve"> Economic Studies, 65 (4): 373–401, https://doi.org/10.1093/cesifo/ifz005</w:t>
              </w:r>
            </w:p>
            <w:p w14:paraId="60C14512" w14:textId="336512E2" w:rsidR="00170216" w:rsidRPr="009E4A8A" w:rsidRDefault="00170216" w:rsidP="00170216">
              <w:pPr>
                <w:ind w:left="284" w:hanging="284"/>
                <w:jc w:val="both"/>
                <w:rPr>
                  <w:rFonts w:asciiTheme="minorHAnsi" w:hAnsiTheme="minorHAnsi"/>
                  <w:lang w:val="sv-SE"/>
                </w:rPr>
              </w:pPr>
              <w:proofErr w:type="spellStart"/>
              <w:r>
                <w:rPr>
                  <w:rFonts w:asciiTheme="minorHAnsi" w:hAnsiTheme="minorHAnsi"/>
                  <w:lang w:val="sv-SE"/>
                </w:rPr>
                <w:t>Örstadius</w:t>
              </w:r>
              <w:proofErr w:type="spellEnd"/>
              <w:r>
                <w:rPr>
                  <w:rFonts w:asciiTheme="minorHAnsi" w:hAnsiTheme="minorHAnsi"/>
                  <w:lang w:val="sv-SE"/>
                </w:rPr>
                <w:t>, Kristoffer</w:t>
              </w:r>
              <w:r w:rsidRPr="009E4A8A">
                <w:rPr>
                  <w:rFonts w:asciiTheme="minorHAnsi" w:hAnsiTheme="minorHAnsi"/>
                  <w:lang w:val="sv-SE"/>
                </w:rPr>
                <w:t xml:space="preserve">. </w:t>
              </w:r>
              <w:r>
                <w:rPr>
                  <w:rFonts w:asciiTheme="minorHAnsi" w:hAnsiTheme="minorHAnsi"/>
                  <w:lang w:val="sv-SE"/>
                </w:rPr>
                <w:t>2018</w:t>
              </w:r>
              <w:r w:rsidRPr="009E4A8A">
                <w:rPr>
                  <w:rFonts w:asciiTheme="minorHAnsi" w:hAnsiTheme="minorHAnsi"/>
                  <w:lang w:val="sv-SE"/>
                </w:rPr>
                <w:t xml:space="preserve">. </w:t>
              </w:r>
              <w:r>
                <w:rPr>
                  <w:rFonts w:asciiTheme="minorHAnsi" w:hAnsiTheme="minorHAnsi"/>
                  <w:lang w:val="sv-SE"/>
                </w:rPr>
                <w:t>”</w:t>
              </w:r>
              <w:r w:rsidRPr="00170216">
                <w:rPr>
                  <w:rFonts w:asciiTheme="minorHAnsi" w:hAnsiTheme="minorHAnsi"/>
                  <w:lang w:val="sv-SE"/>
                </w:rPr>
                <w:t>Fakta i frågan: Har vårdköerna vuxit?</w:t>
              </w:r>
              <w:r w:rsidRPr="009E4A8A">
                <w:rPr>
                  <w:rFonts w:asciiTheme="minorHAnsi" w:hAnsiTheme="minorHAnsi"/>
                  <w:lang w:val="sv-SE"/>
                </w:rPr>
                <w:t xml:space="preserve">”, </w:t>
              </w:r>
              <w:r>
                <w:rPr>
                  <w:rFonts w:asciiTheme="minorHAnsi" w:hAnsiTheme="minorHAnsi"/>
                  <w:lang w:val="sv-SE"/>
                </w:rPr>
                <w:t xml:space="preserve">Dagens </w:t>
              </w:r>
              <w:proofErr w:type="gramStart"/>
              <w:r>
                <w:rPr>
                  <w:rFonts w:asciiTheme="minorHAnsi" w:hAnsiTheme="minorHAnsi"/>
                  <w:lang w:val="sv-SE"/>
                </w:rPr>
                <w:t>Nyheter</w:t>
              </w:r>
              <w:r w:rsidRPr="009E4A8A">
                <w:rPr>
                  <w:rFonts w:asciiTheme="minorHAnsi" w:hAnsiTheme="minorHAnsi"/>
                  <w:lang w:val="sv-SE"/>
                </w:rPr>
                <w:t xml:space="preserve">,  </w:t>
              </w:r>
              <w:r>
                <w:rPr>
                  <w:rFonts w:asciiTheme="minorHAnsi" w:hAnsiTheme="minorHAnsi"/>
                  <w:lang w:val="sv-SE"/>
                </w:rPr>
                <w:t>3</w:t>
              </w:r>
              <w:proofErr w:type="gramEnd"/>
              <w:r w:rsidRPr="009E4A8A">
                <w:rPr>
                  <w:rFonts w:asciiTheme="minorHAnsi" w:hAnsiTheme="minorHAnsi"/>
                  <w:lang w:val="sv-SE"/>
                </w:rPr>
                <w:t xml:space="preserve">:e </w:t>
              </w:r>
              <w:r>
                <w:rPr>
                  <w:rFonts w:asciiTheme="minorHAnsi" w:hAnsiTheme="minorHAnsi"/>
                  <w:lang w:val="sv-SE"/>
                </w:rPr>
                <w:t>mars</w:t>
              </w:r>
              <w:r w:rsidRPr="009E4A8A">
                <w:rPr>
                  <w:rFonts w:asciiTheme="minorHAnsi" w:hAnsiTheme="minorHAnsi"/>
                  <w:lang w:val="sv-SE"/>
                </w:rPr>
                <w:t>,</w:t>
              </w:r>
              <w:r w:rsidR="00E12929" w:rsidRPr="00693C62">
                <w:rPr>
                  <w:lang w:val="sv-SE"/>
                </w:rPr>
                <w:t xml:space="preserve"> </w:t>
              </w:r>
              <w:hyperlink r:id="rId35" w:history="1">
                <w:r w:rsidR="00E12929" w:rsidRPr="0066406D">
                  <w:rPr>
                    <w:rStyle w:val="Hyperlnk"/>
                    <w:rFonts w:asciiTheme="minorHAnsi" w:hAnsiTheme="minorHAnsi"/>
                    <w:lang w:val="sv-SE"/>
                  </w:rPr>
                  <w:t>https://www.dn.se/nyheter/politik/fakta-i-fragan-har-vardkoerna-vuxit/</w:t>
                </w:r>
              </w:hyperlink>
              <w:r w:rsidR="00E12929">
                <w:rPr>
                  <w:rFonts w:asciiTheme="minorHAnsi" w:hAnsiTheme="minorHAnsi"/>
                  <w:lang w:val="sv-SE"/>
                </w:rPr>
                <w:t xml:space="preserve">. </w:t>
              </w:r>
              <w:r>
                <w:rPr>
                  <w:rFonts w:asciiTheme="minorHAnsi" w:hAnsiTheme="minorHAnsi"/>
                  <w:lang w:val="sv-SE"/>
                </w:rPr>
                <w:t xml:space="preserve"> </w:t>
              </w:r>
            </w:p>
            <w:p w14:paraId="011D6BE8" w14:textId="77777777" w:rsidR="00170216" w:rsidRPr="009E4A8A" w:rsidRDefault="00170216" w:rsidP="003B3D45">
              <w:pPr>
                <w:ind w:left="284" w:hanging="284"/>
                <w:jc w:val="both"/>
                <w:rPr>
                  <w:rFonts w:asciiTheme="minorHAnsi" w:hAnsiTheme="minorHAnsi"/>
                  <w:lang w:val="sv-SE"/>
                </w:rPr>
              </w:pPr>
            </w:p>
            <w:p w14:paraId="13C97A7D" w14:textId="77777777" w:rsidR="00912D1C" w:rsidRPr="009E4A8A" w:rsidRDefault="00912D1C" w:rsidP="00505D91">
              <w:pPr>
                <w:ind w:left="284" w:hanging="284"/>
                <w:jc w:val="both"/>
                <w:rPr>
                  <w:rFonts w:asciiTheme="minorHAnsi" w:hAnsiTheme="minorHAnsi"/>
                  <w:lang w:val="sv-SE"/>
                </w:rPr>
              </w:pPr>
            </w:p>
            <w:p w14:paraId="0807551B" w14:textId="3991F9F4" w:rsidR="000C19D2" w:rsidRPr="009E4A8A" w:rsidRDefault="00CC31DA" w:rsidP="000C19D2">
              <w:pPr>
                <w:pStyle w:val="Litteraturfrteckning"/>
                <w:spacing w:after="40"/>
                <w:ind w:left="284" w:hanging="284"/>
                <w:rPr>
                  <w:rFonts w:ascii="Cambria" w:hAnsi="Cambria"/>
                </w:rPr>
              </w:pPr>
            </w:p>
          </w:sdtContent>
        </w:sdt>
      </w:sdtContent>
    </w:sdt>
    <w:p w14:paraId="6A7BE15F" w14:textId="77777777" w:rsidR="007E4BD0" w:rsidRPr="00AA4411" w:rsidRDefault="007E4BD0" w:rsidP="00F62271">
      <w:pPr>
        <w:pStyle w:val="Litteraturfrteckning"/>
        <w:spacing w:after="40"/>
      </w:pPr>
    </w:p>
    <w:p w14:paraId="7697663A" w14:textId="3A54558A" w:rsidR="006C200D" w:rsidRPr="00AA4411" w:rsidRDefault="006C200D" w:rsidP="00D62B6E">
      <w:pPr>
        <w:rPr>
          <w:rFonts w:ascii="Cambria" w:hAnsi="Cambria"/>
          <w:lang w:val="nb-NO"/>
        </w:rPr>
      </w:pPr>
    </w:p>
    <w:sectPr w:rsidR="006C200D" w:rsidRPr="00AA4411" w:rsidSect="00276953">
      <w:footerReference w:type="even" r:id="rId36"/>
      <w:footerReference w:type="default" r:id="rId37"/>
      <w:footnotePr>
        <w:numRestart w:val="eachSect"/>
      </w:footnotePr>
      <w:pgSz w:w="11900" w:h="16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82F6" w14:textId="77777777" w:rsidR="00276953" w:rsidRDefault="00276953" w:rsidP="00086655">
      <w:r>
        <w:separator/>
      </w:r>
    </w:p>
  </w:endnote>
  <w:endnote w:type="continuationSeparator" w:id="0">
    <w:p w14:paraId="6482E310" w14:textId="77777777" w:rsidR="00276953" w:rsidRDefault="00276953" w:rsidP="00086655">
      <w:r>
        <w:continuationSeparator/>
      </w:r>
    </w:p>
  </w:endnote>
  <w:endnote w:type="continuationNotice" w:id="1">
    <w:p w14:paraId="217DFBA1" w14:textId="77777777" w:rsidR="00276953" w:rsidRDefault="00276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8DF7" w14:textId="77777777" w:rsidR="00D41409" w:rsidRDefault="00D41409" w:rsidP="004F3B7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1D889D5" w14:textId="77777777" w:rsidR="00D41409" w:rsidRDefault="00D41409" w:rsidP="0024081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58D6" w14:textId="77777777" w:rsidR="00D41409" w:rsidRDefault="00D41409" w:rsidP="004F3B7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39</w:t>
    </w:r>
    <w:r>
      <w:rPr>
        <w:rStyle w:val="Sidnummer"/>
      </w:rPr>
      <w:fldChar w:fldCharType="end"/>
    </w:r>
  </w:p>
  <w:p w14:paraId="0F611961" w14:textId="77777777" w:rsidR="00D41409" w:rsidRDefault="00D41409" w:rsidP="00240819">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1C3A" w14:textId="77777777" w:rsidR="00276953" w:rsidRDefault="00276953" w:rsidP="00086655">
      <w:r>
        <w:separator/>
      </w:r>
    </w:p>
  </w:footnote>
  <w:footnote w:type="continuationSeparator" w:id="0">
    <w:p w14:paraId="1108F132" w14:textId="77777777" w:rsidR="00276953" w:rsidRDefault="00276953" w:rsidP="00086655">
      <w:r>
        <w:continuationSeparator/>
      </w:r>
    </w:p>
  </w:footnote>
  <w:footnote w:type="continuationNotice" w:id="1">
    <w:p w14:paraId="38B676A2" w14:textId="77777777" w:rsidR="00276953" w:rsidRDefault="00276953"/>
  </w:footnote>
  <w:footnote w:id="2">
    <w:p w14:paraId="5226C7B5" w14:textId="2374FFA9" w:rsidR="008D3618" w:rsidRPr="00A2399B" w:rsidRDefault="008D3618" w:rsidP="00A45C79">
      <w:pPr>
        <w:pStyle w:val="Fotnotstext"/>
        <w:jc w:val="both"/>
        <w:rPr>
          <w:sz w:val="20"/>
          <w:szCs w:val="20"/>
        </w:rPr>
      </w:pPr>
      <w:r w:rsidRPr="000307B5">
        <w:rPr>
          <w:rStyle w:val="Fotnotsreferens"/>
          <w:sz w:val="20"/>
          <w:szCs w:val="20"/>
        </w:rPr>
        <w:footnoteRef/>
      </w:r>
      <w:r w:rsidRPr="000307B5">
        <w:rPr>
          <w:sz w:val="20"/>
          <w:szCs w:val="20"/>
        </w:rPr>
        <w:t xml:space="preserve"> ME står för myalgisk encefalomyelit</w:t>
      </w:r>
      <w:r>
        <w:rPr>
          <w:sz w:val="20"/>
          <w:szCs w:val="20"/>
        </w:rPr>
        <w:t xml:space="preserve"> där m</w:t>
      </w:r>
      <w:r w:rsidRPr="000307B5">
        <w:rPr>
          <w:sz w:val="20"/>
          <w:szCs w:val="20"/>
        </w:rPr>
        <w:t>yalgi betyder muskelsmärta och</w:t>
      </w:r>
      <w:r>
        <w:rPr>
          <w:sz w:val="20"/>
          <w:szCs w:val="20"/>
        </w:rPr>
        <w:t xml:space="preserve"> </w:t>
      </w:r>
      <w:r w:rsidRPr="000307B5">
        <w:rPr>
          <w:sz w:val="20"/>
          <w:szCs w:val="20"/>
        </w:rPr>
        <w:t xml:space="preserve">encefalomyelit </w:t>
      </w:r>
      <w:r>
        <w:rPr>
          <w:sz w:val="20"/>
          <w:szCs w:val="20"/>
        </w:rPr>
        <w:t xml:space="preserve">betecknar </w:t>
      </w:r>
      <w:r w:rsidRPr="000307B5">
        <w:rPr>
          <w:sz w:val="20"/>
          <w:szCs w:val="20"/>
        </w:rPr>
        <w:t>inflammation i hjärna och ryggmärg,</w:t>
      </w:r>
      <w:r>
        <w:rPr>
          <w:sz w:val="20"/>
          <w:szCs w:val="20"/>
        </w:rPr>
        <w:t xml:space="preserve"> </w:t>
      </w:r>
      <w:r w:rsidRPr="000307B5">
        <w:rPr>
          <w:sz w:val="20"/>
          <w:szCs w:val="20"/>
        </w:rPr>
        <w:t>CFS</w:t>
      </w:r>
      <w:r>
        <w:rPr>
          <w:sz w:val="20"/>
          <w:szCs w:val="20"/>
        </w:rPr>
        <w:t xml:space="preserve"> </w:t>
      </w:r>
      <w:r w:rsidRPr="000307B5">
        <w:rPr>
          <w:sz w:val="20"/>
          <w:szCs w:val="20"/>
        </w:rPr>
        <w:t xml:space="preserve">står för chronic fatigue syndrome, </w:t>
      </w:r>
      <w:r>
        <w:rPr>
          <w:sz w:val="20"/>
          <w:szCs w:val="20"/>
        </w:rPr>
        <w:t xml:space="preserve">det vill säga </w:t>
      </w:r>
      <w:r w:rsidRPr="000307B5">
        <w:rPr>
          <w:sz w:val="20"/>
          <w:szCs w:val="20"/>
        </w:rPr>
        <w:t>kroniskt trötthetssyndrom.</w:t>
      </w:r>
      <w:r>
        <w:rPr>
          <w:sz w:val="20"/>
          <w:szCs w:val="20"/>
        </w:rPr>
        <w:t xml:space="preserve"> </w:t>
      </w:r>
      <w:r w:rsidR="005B227C">
        <w:rPr>
          <w:sz w:val="20"/>
          <w:szCs w:val="20"/>
        </w:rPr>
        <w:t>Ett tilläggsuppdrag</w:t>
      </w:r>
      <w:r>
        <w:rPr>
          <w:sz w:val="20"/>
          <w:szCs w:val="20"/>
        </w:rPr>
        <w:t xml:space="preserve"> för dessa patienter har placerats inom två olika vårdval: vårdval specialiserad rehabilitering vid långvarig smärta och utmattningssyndrom samt vårdval planerad specialiserad neurologisk rehabilitering. </w:t>
      </w:r>
    </w:p>
  </w:footnote>
  <w:footnote w:id="3">
    <w:p w14:paraId="71646AE3" w14:textId="1E48232F" w:rsidR="00651A23" w:rsidRPr="003643D7" w:rsidRDefault="00651A23" w:rsidP="00651A23">
      <w:pPr>
        <w:pStyle w:val="Fotnotstext"/>
        <w:jc w:val="both"/>
        <w:rPr>
          <w:sz w:val="20"/>
          <w:szCs w:val="20"/>
        </w:rPr>
      </w:pPr>
      <w:r w:rsidRPr="00C24A17">
        <w:rPr>
          <w:rStyle w:val="Fotnotsreferens"/>
          <w:sz w:val="20"/>
          <w:szCs w:val="20"/>
        </w:rPr>
        <w:footnoteRef/>
      </w:r>
      <w:r w:rsidRPr="00C24A17">
        <w:rPr>
          <w:sz w:val="20"/>
          <w:szCs w:val="20"/>
        </w:rPr>
        <w:t xml:space="preserve"> </w:t>
      </w:r>
      <w:r w:rsidR="000830CC">
        <w:rPr>
          <w:sz w:val="20"/>
          <w:szCs w:val="20"/>
        </w:rPr>
        <w:t xml:space="preserve">Ingenting </w:t>
      </w:r>
      <w:r w:rsidR="00FF04BD">
        <w:rPr>
          <w:sz w:val="20"/>
          <w:szCs w:val="20"/>
        </w:rPr>
        <w:t xml:space="preserve">i </w:t>
      </w:r>
      <w:r w:rsidR="000830CC">
        <w:rPr>
          <w:sz w:val="20"/>
          <w:szCs w:val="20"/>
        </w:rPr>
        <w:t xml:space="preserve">det </w:t>
      </w:r>
      <w:r w:rsidR="00BC0744">
        <w:rPr>
          <w:sz w:val="20"/>
          <w:szCs w:val="20"/>
        </w:rPr>
        <w:t xml:space="preserve">material </w:t>
      </w:r>
      <w:r w:rsidR="000830CC">
        <w:rPr>
          <w:sz w:val="20"/>
          <w:szCs w:val="20"/>
        </w:rPr>
        <w:t xml:space="preserve">som vi först fick utlämnat kan beskrivas som </w:t>
      </w:r>
      <w:r w:rsidR="00D94387">
        <w:rPr>
          <w:sz w:val="20"/>
          <w:szCs w:val="20"/>
        </w:rPr>
        <w:t xml:space="preserve">genomlysningar eller </w:t>
      </w:r>
      <w:r w:rsidR="00A45C79">
        <w:rPr>
          <w:sz w:val="20"/>
          <w:szCs w:val="20"/>
        </w:rPr>
        <w:t>noggranna</w:t>
      </w:r>
      <w:r w:rsidR="000830CC">
        <w:rPr>
          <w:sz w:val="20"/>
          <w:szCs w:val="20"/>
        </w:rPr>
        <w:t xml:space="preserve"> utredningar</w:t>
      </w:r>
      <w:r w:rsidR="005B227C">
        <w:rPr>
          <w:sz w:val="20"/>
          <w:szCs w:val="20"/>
        </w:rPr>
        <w:t xml:space="preserve">, med </w:t>
      </w:r>
      <w:r w:rsidR="00491601">
        <w:rPr>
          <w:sz w:val="20"/>
          <w:szCs w:val="20"/>
        </w:rPr>
        <w:t xml:space="preserve">visst </w:t>
      </w:r>
      <w:r w:rsidR="005B227C">
        <w:rPr>
          <w:sz w:val="20"/>
          <w:szCs w:val="20"/>
        </w:rPr>
        <w:t xml:space="preserve">undantag för </w:t>
      </w:r>
      <w:r w:rsidR="00A45C79">
        <w:rPr>
          <w:sz w:val="20"/>
          <w:szCs w:val="20"/>
        </w:rPr>
        <w:t>utredningen</w:t>
      </w:r>
      <w:r w:rsidR="005B227C">
        <w:rPr>
          <w:sz w:val="20"/>
          <w:szCs w:val="20"/>
        </w:rPr>
        <w:t xml:space="preserve"> om </w:t>
      </w:r>
      <w:r w:rsidR="00D36D89">
        <w:rPr>
          <w:sz w:val="20"/>
          <w:szCs w:val="20"/>
        </w:rPr>
        <w:t xml:space="preserve">vårdvalet för </w:t>
      </w:r>
      <w:r w:rsidR="00D36D89" w:rsidRPr="00D36D89">
        <w:rPr>
          <w:sz w:val="20"/>
          <w:szCs w:val="20"/>
        </w:rPr>
        <w:t>utmattningssyndrom och långvarig smärta</w:t>
      </w:r>
      <w:r w:rsidR="000830CC">
        <w:rPr>
          <w:sz w:val="20"/>
          <w:szCs w:val="20"/>
        </w:rPr>
        <w:t>.</w:t>
      </w:r>
      <w:r w:rsidR="0043771D">
        <w:rPr>
          <w:sz w:val="20"/>
          <w:szCs w:val="20"/>
        </w:rPr>
        <w:t xml:space="preserve"> Vi fick över huvud taget </w:t>
      </w:r>
      <w:r w:rsidR="00491601">
        <w:rPr>
          <w:sz w:val="20"/>
          <w:szCs w:val="20"/>
        </w:rPr>
        <w:t>inget material</w:t>
      </w:r>
      <w:r w:rsidR="0043771D">
        <w:rPr>
          <w:sz w:val="20"/>
          <w:szCs w:val="20"/>
        </w:rPr>
        <w:t xml:space="preserve"> som rör </w:t>
      </w:r>
      <w:r w:rsidR="00491601">
        <w:rPr>
          <w:sz w:val="20"/>
          <w:szCs w:val="20"/>
        </w:rPr>
        <w:t xml:space="preserve">genomlysningar av </w:t>
      </w:r>
      <w:r w:rsidR="0043771D">
        <w:rPr>
          <w:sz w:val="20"/>
          <w:szCs w:val="20"/>
        </w:rPr>
        <w:t xml:space="preserve">de vårdval som inte omfattas av de förändringar som nu genomförs, </w:t>
      </w:r>
      <w:r w:rsidR="00BC0744">
        <w:rPr>
          <w:sz w:val="20"/>
          <w:szCs w:val="20"/>
        </w:rPr>
        <w:t xml:space="preserve">trots att detta </w:t>
      </w:r>
      <w:r w:rsidR="0043771D">
        <w:rPr>
          <w:sz w:val="20"/>
          <w:szCs w:val="20"/>
        </w:rPr>
        <w:t xml:space="preserve">enligt tjänsteutlåtandet </w:t>
      </w:r>
      <w:r w:rsidR="00BC0744">
        <w:rPr>
          <w:sz w:val="20"/>
          <w:szCs w:val="20"/>
        </w:rPr>
        <w:t xml:space="preserve">ska ha </w:t>
      </w:r>
      <w:r w:rsidR="00FF04BD">
        <w:rPr>
          <w:sz w:val="20"/>
          <w:szCs w:val="20"/>
        </w:rPr>
        <w:t>ingått i</w:t>
      </w:r>
      <w:r w:rsidR="00BC0744">
        <w:rPr>
          <w:sz w:val="20"/>
          <w:szCs w:val="20"/>
        </w:rPr>
        <w:t xml:space="preserve"> </w:t>
      </w:r>
      <w:r w:rsidR="00FF04BD">
        <w:rPr>
          <w:sz w:val="20"/>
          <w:szCs w:val="20"/>
        </w:rPr>
        <w:t>den första etappen i arbetet med omställningsplanen</w:t>
      </w:r>
      <w:r w:rsidR="0043771D">
        <w:rPr>
          <w:sz w:val="20"/>
          <w:szCs w:val="20"/>
        </w:rPr>
        <w:t>.</w:t>
      </w:r>
      <w:r w:rsidR="00D36D89">
        <w:rPr>
          <w:sz w:val="20"/>
          <w:szCs w:val="20"/>
        </w:rPr>
        <w:t xml:space="preserve"> </w:t>
      </w:r>
      <w:r w:rsidR="000830CC">
        <w:rPr>
          <w:sz w:val="20"/>
          <w:szCs w:val="20"/>
        </w:rPr>
        <w:t>Efter vår andra begäran</w:t>
      </w:r>
      <w:r w:rsidR="0043771D">
        <w:rPr>
          <w:sz w:val="20"/>
          <w:szCs w:val="20"/>
        </w:rPr>
        <w:t xml:space="preserve"> där vi explicit begärde ut alla genomlysningar och utredningar som refereras i omställningsplanen</w:t>
      </w:r>
      <w:r w:rsidR="000830CC">
        <w:rPr>
          <w:sz w:val="20"/>
          <w:szCs w:val="20"/>
        </w:rPr>
        <w:t xml:space="preserve"> fick vi bekräftat av registratorn, både muntligen och skriftligen, </w:t>
      </w:r>
      <w:r>
        <w:rPr>
          <w:sz w:val="20"/>
          <w:szCs w:val="20"/>
        </w:rPr>
        <w:t xml:space="preserve">att </w:t>
      </w:r>
      <w:r w:rsidR="0043771D">
        <w:rPr>
          <w:sz w:val="20"/>
          <w:szCs w:val="20"/>
        </w:rPr>
        <w:t xml:space="preserve">inget annat material </w:t>
      </w:r>
      <w:r>
        <w:rPr>
          <w:sz w:val="20"/>
          <w:szCs w:val="20"/>
        </w:rPr>
        <w:t>fanns att tillgå.</w:t>
      </w:r>
    </w:p>
  </w:footnote>
  <w:footnote w:id="4">
    <w:p w14:paraId="7A77E4F3" w14:textId="4334380E" w:rsidR="00B41DDD" w:rsidRPr="00F3765B" w:rsidRDefault="00B41DDD" w:rsidP="00F3765B">
      <w:pPr>
        <w:pStyle w:val="Fotnotstext"/>
        <w:jc w:val="both"/>
        <w:rPr>
          <w:sz w:val="20"/>
          <w:szCs w:val="20"/>
        </w:rPr>
      </w:pPr>
      <w:r w:rsidRPr="00714D97">
        <w:rPr>
          <w:rStyle w:val="Fotnotsreferens"/>
          <w:sz w:val="20"/>
          <w:szCs w:val="20"/>
        </w:rPr>
        <w:footnoteRef/>
      </w:r>
      <w:r w:rsidRPr="00714D97">
        <w:rPr>
          <w:sz w:val="20"/>
          <w:szCs w:val="20"/>
        </w:rPr>
        <w:t xml:space="preserve"> Tjänsteutlåtandena redovisar statistiken under perioden 2016–2022 </w:t>
      </w:r>
      <w:r>
        <w:rPr>
          <w:sz w:val="20"/>
          <w:szCs w:val="20"/>
        </w:rPr>
        <w:t>medan utredningen redovisar data för perioden</w:t>
      </w:r>
      <w:r w:rsidRPr="00714D97">
        <w:rPr>
          <w:sz w:val="20"/>
          <w:szCs w:val="20"/>
        </w:rPr>
        <w:t xml:space="preserve"> 2014–2021</w:t>
      </w:r>
      <w:r>
        <w:rPr>
          <w:sz w:val="20"/>
          <w:szCs w:val="20"/>
        </w:rPr>
        <w:t xml:space="preserve">. Eftersom endast utredningen presenterar totala volymer inom </w:t>
      </w:r>
      <w:r w:rsidRPr="00F3765B">
        <w:rPr>
          <w:sz w:val="20"/>
          <w:szCs w:val="20"/>
        </w:rPr>
        <w:t xml:space="preserve">ögonsjukvården i stället för enbart inom vårdvalet använder </w:t>
      </w:r>
      <w:r w:rsidR="00A74CDD">
        <w:rPr>
          <w:sz w:val="20"/>
          <w:szCs w:val="20"/>
        </w:rPr>
        <w:t>vi</w:t>
      </w:r>
      <w:r w:rsidRPr="00F3765B">
        <w:rPr>
          <w:sz w:val="20"/>
          <w:szCs w:val="20"/>
        </w:rPr>
        <w:t xml:space="preserve"> dessa data</w:t>
      </w:r>
      <w:r w:rsidR="00A74CDD">
        <w:rPr>
          <w:sz w:val="20"/>
          <w:szCs w:val="20"/>
        </w:rPr>
        <w:t xml:space="preserve"> för att göra vår poäng.</w:t>
      </w:r>
    </w:p>
  </w:footnote>
  <w:footnote w:id="5">
    <w:p w14:paraId="6F1293D9" w14:textId="5E9DA5FE" w:rsidR="00F3765B" w:rsidRPr="003643D7" w:rsidRDefault="00F3765B" w:rsidP="00F3765B">
      <w:pPr>
        <w:pStyle w:val="Fotnotstext"/>
        <w:jc w:val="both"/>
      </w:pPr>
      <w:r w:rsidRPr="00F3765B">
        <w:rPr>
          <w:rStyle w:val="Fotnotsreferens"/>
          <w:sz w:val="20"/>
          <w:szCs w:val="20"/>
        </w:rPr>
        <w:footnoteRef/>
      </w:r>
      <w:r w:rsidRPr="00F3765B">
        <w:rPr>
          <w:sz w:val="20"/>
          <w:szCs w:val="20"/>
        </w:rPr>
        <w:t xml:space="preserve"> </w:t>
      </w:r>
      <w:r w:rsidRPr="00F3765B">
        <w:rPr>
          <w:rFonts w:ascii="Cambria" w:hAnsi="Cambria"/>
          <w:sz w:val="20"/>
          <w:szCs w:val="20"/>
        </w:rPr>
        <w:t>Att göra analyserna enbart för operationer i stället för besök/diagnoser är inte en tillfredställande lösning på problemet, då tidigare kontakt med specialist sannolikt också påverkar tid till operation.</w:t>
      </w:r>
    </w:p>
  </w:footnote>
  <w:footnote w:id="6">
    <w:p w14:paraId="054528D7" w14:textId="223048AA" w:rsidR="00CE770A" w:rsidRPr="00A0115A" w:rsidRDefault="008219AC" w:rsidP="00952468">
      <w:pPr>
        <w:pStyle w:val="Fotnotstext"/>
        <w:jc w:val="both"/>
        <w:rPr>
          <w:sz w:val="20"/>
          <w:szCs w:val="20"/>
        </w:rPr>
      </w:pPr>
      <w:r w:rsidRPr="00A0115A">
        <w:rPr>
          <w:rStyle w:val="Fotnotsreferens"/>
          <w:sz w:val="20"/>
          <w:szCs w:val="20"/>
        </w:rPr>
        <w:footnoteRef/>
      </w:r>
      <w:r w:rsidRPr="00A0115A">
        <w:rPr>
          <w:sz w:val="20"/>
          <w:szCs w:val="20"/>
        </w:rPr>
        <w:t xml:space="preserve"> Data är hämtade från Socialstyrelsens (2024) statistikdatabas</w:t>
      </w:r>
      <w:r w:rsidR="00E72222" w:rsidRPr="00A0115A">
        <w:rPr>
          <w:sz w:val="20"/>
          <w:szCs w:val="20"/>
        </w:rPr>
        <w:t>.</w:t>
      </w:r>
      <w:r w:rsidR="00CE770A">
        <w:rPr>
          <w:sz w:val="20"/>
          <w:szCs w:val="20"/>
        </w:rPr>
        <w:t xml:space="preserve"> </w:t>
      </w:r>
      <w:r w:rsidR="0094430D">
        <w:rPr>
          <w:sz w:val="20"/>
          <w:szCs w:val="20"/>
        </w:rPr>
        <w:t>I</w:t>
      </w:r>
      <w:r w:rsidR="00CE770A" w:rsidRPr="00CE770A">
        <w:rPr>
          <w:sz w:val="20"/>
          <w:szCs w:val="20"/>
        </w:rPr>
        <w:t xml:space="preserve">nrapporteringsgraden </w:t>
      </w:r>
      <w:r w:rsidR="00CE770A">
        <w:rPr>
          <w:sz w:val="20"/>
          <w:szCs w:val="20"/>
        </w:rPr>
        <w:t xml:space="preserve">var </w:t>
      </w:r>
      <w:r w:rsidR="00CE770A" w:rsidRPr="00CE770A">
        <w:rPr>
          <w:sz w:val="20"/>
          <w:szCs w:val="20"/>
        </w:rPr>
        <w:t>relativt låg</w:t>
      </w:r>
      <w:r w:rsidR="00CE770A">
        <w:rPr>
          <w:sz w:val="20"/>
          <w:szCs w:val="20"/>
        </w:rPr>
        <w:t xml:space="preserve"> under de första åren efter att den </w:t>
      </w:r>
      <w:r w:rsidR="00CE770A" w:rsidRPr="00CE770A">
        <w:rPr>
          <w:sz w:val="20"/>
          <w:szCs w:val="20"/>
        </w:rPr>
        <w:t>specialiserade öppenvården blev rapporteringspliktig till patientregistret 200</w:t>
      </w:r>
      <w:r w:rsidR="0094430D">
        <w:rPr>
          <w:sz w:val="20"/>
          <w:szCs w:val="20"/>
        </w:rPr>
        <w:t>1</w:t>
      </w:r>
      <w:r w:rsidR="00E130F6">
        <w:rPr>
          <w:sz w:val="20"/>
          <w:szCs w:val="20"/>
        </w:rPr>
        <w:t>,</w:t>
      </w:r>
      <w:r w:rsidR="0094430D">
        <w:rPr>
          <w:sz w:val="20"/>
          <w:szCs w:val="20"/>
        </w:rPr>
        <w:t xml:space="preserve"> vilket kan </w:t>
      </w:r>
      <w:r w:rsidR="00E57D7F">
        <w:rPr>
          <w:sz w:val="20"/>
          <w:szCs w:val="20"/>
        </w:rPr>
        <w:t xml:space="preserve">ha </w:t>
      </w:r>
      <w:r w:rsidR="0094430D">
        <w:rPr>
          <w:sz w:val="20"/>
          <w:szCs w:val="20"/>
        </w:rPr>
        <w:t>påverka</w:t>
      </w:r>
      <w:r w:rsidR="00E57D7F">
        <w:rPr>
          <w:sz w:val="20"/>
          <w:szCs w:val="20"/>
        </w:rPr>
        <w:t>t</w:t>
      </w:r>
      <w:r w:rsidR="0094430D">
        <w:rPr>
          <w:sz w:val="20"/>
          <w:szCs w:val="20"/>
        </w:rPr>
        <w:t xml:space="preserve"> volymförändringarna</w:t>
      </w:r>
      <w:r w:rsidR="00E130F6">
        <w:rPr>
          <w:sz w:val="20"/>
          <w:szCs w:val="20"/>
        </w:rPr>
        <w:t>.</w:t>
      </w:r>
      <w:r w:rsidR="0094430D">
        <w:rPr>
          <w:sz w:val="20"/>
          <w:szCs w:val="20"/>
        </w:rPr>
        <w:t xml:space="preserve"> </w:t>
      </w:r>
      <w:r w:rsidR="00384367">
        <w:rPr>
          <w:sz w:val="20"/>
          <w:szCs w:val="20"/>
        </w:rPr>
        <w:t xml:space="preserve"> Vi redovisar därför data från och med 2003, </w:t>
      </w:r>
      <w:r w:rsidR="00246791">
        <w:rPr>
          <w:sz w:val="20"/>
          <w:szCs w:val="20"/>
        </w:rPr>
        <w:t>även om detta inte</w:t>
      </w:r>
      <w:r w:rsidR="00384367">
        <w:rPr>
          <w:sz w:val="20"/>
          <w:szCs w:val="20"/>
        </w:rPr>
        <w:t xml:space="preserve"> spelar </w:t>
      </w:r>
      <w:r w:rsidR="00246791">
        <w:rPr>
          <w:sz w:val="20"/>
          <w:szCs w:val="20"/>
        </w:rPr>
        <w:t xml:space="preserve">någon </w:t>
      </w:r>
      <w:r w:rsidR="00384367">
        <w:rPr>
          <w:sz w:val="20"/>
          <w:szCs w:val="20"/>
        </w:rPr>
        <w:t xml:space="preserve">roll för tolkningen. Hur som helst ligger </w:t>
      </w:r>
      <w:r w:rsidR="0094430D">
        <w:rPr>
          <w:sz w:val="20"/>
          <w:szCs w:val="20"/>
        </w:rPr>
        <w:t>fokus här på skillnaderna mellan Stockholm och de övriga länen. I den mån vårdval ökar inrapporteringen av data riskerar vi dessutom om något att överdriva eventuella förändringar</w:t>
      </w:r>
      <w:r w:rsidR="00E57D7F">
        <w:rPr>
          <w:sz w:val="20"/>
          <w:szCs w:val="20"/>
        </w:rPr>
        <w:t xml:space="preserve"> i Stockholm och skillnader mot övriga landet</w:t>
      </w:r>
      <w:r w:rsidR="0094430D">
        <w:rPr>
          <w:sz w:val="20"/>
          <w:szCs w:val="20"/>
        </w:rPr>
        <w:t>.</w:t>
      </w:r>
    </w:p>
  </w:footnote>
  <w:footnote w:id="7">
    <w:p w14:paraId="1070716F" w14:textId="20EB7E45" w:rsidR="00C34DE1" w:rsidRPr="000F0C2D" w:rsidRDefault="00C34DE1" w:rsidP="00952468">
      <w:pPr>
        <w:pStyle w:val="Fotnotstext"/>
        <w:jc w:val="both"/>
        <w:rPr>
          <w:sz w:val="20"/>
          <w:szCs w:val="20"/>
        </w:rPr>
      </w:pPr>
      <w:r w:rsidRPr="000F0C2D">
        <w:rPr>
          <w:rStyle w:val="Fotnotsreferens"/>
          <w:sz w:val="20"/>
          <w:szCs w:val="20"/>
        </w:rPr>
        <w:footnoteRef/>
      </w:r>
      <w:r w:rsidRPr="000F0C2D">
        <w:rPr>
          <w:sz w:val="20"/>
          <w:szCs w:val="20"/>
        </w:rPr>
        <w:t xml:space="preserve"> Vårdval inom </w:t>
      </w:r>
      <w:r w:rsidR="000F0C2D" w:rsidRPr="000F0C2D">
        <w:rPr>
          <w:sz w:val="20"/>
          <w:szCs w:val="20"/>
        </w:rPr>
        <w:t>katarakt</w:t>
      </w:r>
      <w:r w:rsidR="00952468">
        <w:rPr>
          <w:sz w:val="20"/>
          <w:szCs w:val="20"/>
        </w:rPr>
        <w:t>operationer introducerades 2009, men vi ser inget trendbrott i samband med detta.</w:t>
      </w:r>
      <w:r w:rsidR="00E43263">
        <w:rPr>
          <w:sz w:val="20"/>
          <w:szCs w:val="20"/>
        </w:rPr>
        <w:t xml:space="preserve"> Detta tyder på att det vårdvalet inte hade någon större påverkan på vårdvolymerna.</w:t>
      </w:r>
    </w:p>
  </w:footnote>
  <w:footnote w:id="8">
    <w:p w14:paraId="377EAC99" w14:textId="4F73D560" w:rsidR="00A30EF2" w:rsidRPr="003643D7" w:rsidRDefault="00A30EF2" w:rsidP="00A30EF2">
      <w:pPr>
        <w:pStyle w:val="Fotnotstext"/>
        <w:jc w:val="both"/>
        <w:rPr>
          <w:sz w:val="20"/>
          <w:szCs w:val="20"/>
        </w:rPr>
      </w:pPr>
      <w:r w:rsidRPr="000F0C2D">
        <w:rPr>
          <w:rStyle w:val="Fotnotsreferens"/>
          <w:sz w:val="20"/>
          <w:szCs w:val="20"/>
        </w:rPr>
        <w:footnoteRef/>
      </w:r>
      <w:r w:rsidRPr="000F0C2D">
        <w:rPr>
          <w:sz w:val="20"/>
          <w:szCs w:val="20"/>
        </w:rPr>
        <w:t xml:space="preserve"> Man bör här notera att Region Stockholm under pandemin anammade den nationella vårdgarantin i stället</w:t>
      </w:r>
      <w:r w:rsidRPr="00F409BA">
        <w:rPr>
          <w:sz w:val="20"/>
          <w:szCs w:val="20"/>
        </w:rPr>
        <w:t xml:space="preserve"> för sin egen striktare variant</w:t>
      </w:r>
      <w:r>
        <w:rPr>
          <w:sz w:val="20"/>
          <w:szCs w:val="20"/>
        </w:rPr>
        <w:t xml:space="preserve">. </w:t>
      </w:r>
      <w:r w:rsidR="00634A98">
        <w:rPr>
          <w:sz w:val="20"/>
          <w:szCs w:val="20"/>
        </w:rPr>
        <w:t>Den 1 september 2022 återgick man dock till den striktare garantin.</w:t>
      </w:r>
    </w:p>
  </w:footnote>
  <w:footnote w:id="9">
    <w:p w14:paraId="7FF650B7" w14:textId="7FC85B10" w:rsidR="00952468" w:rsidRPr="00B60962" w:rsidRDefault="00952468" w:rsidP="00952468">
      <w:pPr>
        <w:pStyle w:val="Fotnotstext"/>
        <w:jc w:val="both"/>
        <w:rPr>
          <w:sz w:val="20"/>
          <w:szCs w:val="20"/>
        </w:rPr>
      </w:pPr>
      <w:r w:rsidRPr="00952468">
        <w:rPr>
          <w:rStyle w:val="Fotnotsreferens"/>
          <w:sz w:val="20"/>
          <w:szCs w:val="20"/>
        </w:rPr>
        <w:footnoteRef/>
      </w:r>
      <w:r w:rsidRPr="00952468">
        <w:rPr>
          <w:sz w:val="20"/>
          <w:szCs w:val="20"/>
        </w:rPr>
        <w:t xml:space="preserve"> </w:t>
      </w:r>
      <w:r w:rsidRPr="000F0C2D">
        <w:rPr>
          <w:sz w:val="20"/>
          <w:szCs w:val="20"/>
        </w:rPr>
        <w:t>Vårdval inom katarakt</w:t>
      </w:r>
      <w:r>
        <w:rPr>
          <w:sz w:val="20"/>
          <w:szCs w:val="20"/>
        </w:rPr>
        <w:t xml:space="preserve">operationer infördes i Stockholm år 2009 </w:t>
      </w:r>
      <w:r w:rsidR="00002FE7">
        <w:rPr>
          <w:sz w:val="20"/>
          <w:szCs w:val="20"/>
        </w:rPr>
        <w:t>och</w:t>
      </w:r>
      <w:r>
        <w:rPr>
          <w:sz w:val="20"/>
          <w:szCs w:val="20"/>
        </w:rPr>
        <w:t xml:space="preserve"> i Uppsala </w:t>
      </w:r>
      <w:r w:rsidR="00002FE7">
        <w:rPr>
          <w:sz w:val="20"/>
          <w:szCs w:val="20"/>
        </w:rPr>
        <w:t>samt</w:t>
      </w:r>
      <w:r>
        <w:rPr>
          <w:sz w:val="20"/>
          <w:szCs w:val="20"/>
        </w:rPr>
        <w:t xml:space="preserve"> Skåne år 2012. </w:t>
      </w:r>
      <w:r w:rsidR="00F47F5A">
        <w:rPr>
          <w:sz w:val="20"/>
          <w:szCs w:val="20"/>
        </w:rPr>
        <w:t>I Uppsala infördes samtidigt vårdval för ö</w:t>
      </w:r>
      <w:r w:rsidR="00F47F5A" w:rsidRPr="00F47F5A">
        <w:rPr>
          <w:sz w:val="20"/>
          <w:szCs w:val="20"/>
        </w:rPr>
        <w:t>gonbottenfotografering för diabetiker</w:t>
      </w:r>
      <w:r w:rsidR="00F47F5A">
        <w:rPr>
          <w:sz w:val="20"/>
          <w:szCs w:val="20"/>
        </w:rPr>
        <w:t xml:space="preserve">. </w:t>
      </w:r>
      <w:r>
        <w:rPr>
          <w:sz w:val="20"/>
          <w:szCs w:val="20"/>
        </w:rPr>
        <w:t xml:space="preserve">Det </w:t>
      </w:r>
      <w:r w:rsidRPr="00B60962">
        <w:rPr>
          <w:sz w:val="20"/>
          <w:szCs w:val="20"/>
        </w:rPr>
        <w:t>sker en ökning i volymerna efter genomförandet</w:t>
      </w:r>
      <w:r w:rsidR="00E7109E" w:rsidRPr="00B60962">
        <w:rPr>
          <w:sz w:val="20"/>
          <w:szCs w:val="20"/>
        </w:rPr>
        <w:t xml:space="preserve"> av </w:t>
      </w:r>
      <w:r w:rsidR="00F47F5A">
        <w:rPr>
          <w:sz w:val="20"/>
          <w:szCs w:val="20"/>
        </w:rPr>
        <w:t>dessa</w:t>
      </w:r>
      <w:r w:rsidR="00E7109E" w:rsidRPr="00B60962">
        <w:rPr>
          <w:sz w:val="20"/>
          <w:szCs w:val="20"/>
        </w:rPr>
        <w:t xml:space="preserve"> vårdval</w:t>
      </w:r>
      <w:r w:rsidRPr="00B60962">
        <w:rPr>
          <w:sz w:val="20"/>
          <w:szCs w:val="20"/>
        </w:rPr>
        <w:t xml:space="preserve"> i Uppsala och Skåne, men </w:t>
      </w:r>
      <w:r w:rsidR="00E7109E" w:rsidRPr="00B60962">
        <w:rPr>
          <w:sz w:val="20"/>
          <w:szCs w:val="20"/>
        </w:rPr>
        <w:t>de faller sedan ner igen året efteråt. Över lag</w:t>
      </w:r>
      <w:r w:rsidRPr="00B60962">
        <w:rPr>
          <w:sz w:val="20"/>
          <w:szCs w:val="20"/>
        </w:rPr>
        <w:t xml:space="preserve"> finns det </w:t>
      </w:r>
      <w:r w:rsidR="00E7109E" w:rsidRPr="00B60962">
        <w:rPr>
          <w:sz w:val="20"/>
          <w:szCs w:val="20"/>
        </w:rPr>
        <w:t>lite som</w:t>
      </w:r>
      <w:r w:rsidRPr="00B60962">
        <w:rPr>
          <w:sz w:val="20"/>
          <w:szCs w:val="20"/>
        </w:rPr>
        <w:t xml:space="preserve"> tyder på att </w:t>
      </w:r>
      <w:r w:rsidR="00E7109E" w:rsidRPr="00B60962">
        <w:rPr>
          <w:sz w:val="20"/>
          <w:szCs w:val="20"/>
        </w:rPr>
        <w:t>vårdvalet inom kataraktoperationer</w:t>
      </w:r>
      <w:r w:rsidRPr="00B60962">
        <w:rPr>
          <w:sz w:val="20"/>
          <w:szCs w:val="20"/>
        </w:rPr>
        <w:t xml:space="preserve"> </w:t>
      </w:r>
      <w:r w:rsidR="008E6DD0">
        <w:rPr>
          <w:sz w:val="20"/>
          <w:szCs w:val="20"/>
        </w:rPr>
        <w:t>innebar</w:t>
      </w:r>
      <w:r w:rsidR="008E6DD0" w:rsidRPr="00B60962">
        <w:rPr>
          <w:sz w:val="20"/>
          <w:szCs w:val="20"/>
        </w:rPr>
        <w:t xml:space="preserve"> </w:t>
      </w:r>
      <w:r w:rsidR="008E6DD0">
        <w:rPr>
          <w:sz w:val="20"/>
          <w:szCs w:val="20"/>
        </w:rPr>
        <w:t xml:space="preserve">någon större </w:t>
      </w:r>
      <w:r w:rsidRPr="00B60962">
        <w:rPr>
          <w:sz w:val="20"/>
          <w:szCs w:val="20"/>
        </w:rPr>
        <w:t xml:space="preserve">ökning i </w:t>
      </w:r>
      <w:r w:rsidR="008E6DD0">
        <w:rPr>
          <w:sz w:val="20"/>
          <w:szCs w:val="20"/>
        </w:rPr>
        <w:t xml:space="preserve">de totala </w:t>
      </w:r>
      <w:r w:rsidRPr="00B60962">
        <w:rPr>
          <w:sz w:val="20"/>
          <w:szCs w:val="20"/>
        </w:rPr>
        <w:t>vårdvolymerna</w:t>
      </w:r>
      <w:r w:rsidR="008E6DD0">
        <w:rPr>
          <w:sz w:val="20"/>
          <w:szCs w:val="20"/>
        </w:rPr>
        <w:t xml:space="preserve"> i ögonsjukvården</w:t>
      </w:r>
      <w:r w:rsidRPr="00B60962">
        <w:rPr>
          <w:sz w:val="20"/>
          <w:szCs w:val="20"/>
        </w:rPr>
        <w:t xml:space="preserve">. </w:t>
      </w:r>
    </w:p>
  </w:footnote>
  <w:footnote w:id="10">
    <w:p w14:paraId="42C11E80" w14:textId="77777777" w:rsidR="00911980" w:rsidRPr="003643D7" w:rsidRDefault="00911980" w:rsidP="00911980">
      <w:pPr>
        <w:pStyle w:val="Fotnotstext"/>
        <w:jc w:val="both"/>
      </w:pPr>
      <w:r w:rsidRPr="00B60962">
        <w:rPr>
          <w:rStyle w:val="Fotnotsreferens"/>
          <w:sz w:val="20"/>
          <w:szCs w:val="20"/>
        </w:rPr>
        <w:footnoteRef/>
      </w:r>
      <w:r w:rsidRPr="00B60962">
        <w:rPr>
          <w:sz w:val="20"/>
          <w:szCs w:val="20"/>
        </w:rPr>
        <w:t xml:space="preserve"> En annan anledning till </w:t>
      </w:r>
      <w:r>
        <w:rPr>
          <w:sz w:val="20"/>
          <w:szCs w:val="20"/>
        </w:rPr>
        <w:t xml:space="preserve">att vi enbart kan skönja ett </w:t>
      </w:r>
      <w:r w:rsidRPr="00B60962">
        <w:rPr>
          <w:sz w:val="20"/>
          <w:szCs w:val="20"/>
        </w:rPr>
        <w:t>trend</w:t>
      </w:r>
      <w:r>
        <w:rPr>
          <w:sz w:val="20"/>
          <w:szCs w:val="20"/>
        </w:rPr>
        <w:t>br</w:t>
      </w:r>
      <w:r w:rsidRPr="00B60962">
        <w:rPr>
          <w:sz w:val="20"/>
          <w:szCs w:val="20"/>
        </w:rPr>
        <w:t>o</w:t>
      </w:r>
      <w:r>
        <w:rPr>
          <w:sz w:val="20"/>
          <w:szCs w:val="20"/>
        </w:rPr>
        <w:t xml:space="preserve">tt i </w:t>
      </w:r>
      <w:r w:rsidRPr="00B60962">
        <w:rPr>
          <w:sz w:val="20"/>
          <w:szCs w:val="20"/>
        </w:rPr>
        <w:t>Stockholm</w:t>
      </w:r>
      <w:r>
        <w:rPr>
          <w:sz w:val="20"/>
          <w:szCs w:val="20"/>
        </w:rPr>
        <w:t>s vårdvolymer</w:t>
      </w:r>
      <w:r w:rsidRPr="00B60962">
        <w:rPr>
          <w:sz w:val="20"/>
          <w:szCs w:val="20"/>
        </w:rPr>
        <w:t xml:space="preserve"> </w:t>
      </w:r>
      <w:r>
        <w:rPr>
          <w:sz w:val="20"/>
          <w:szCs w:val="20"/>
        </w:rPr>
        <w:t>skulle kunna vara att ersättningen är mycket högre där än i de andra regionerna med vårdval inom ögonsjukvården, men enligt den tidigare utredningen finns det ingenting som tyder på det. Som vi noterar i avsnitt 3.1 har man faktiskt inte räknat upp ersättningsnivåerna i Stockholm sedan vårdvalet infördes 2011. Dessutom genomfördes en prissänkning på 5 procent år 2015 (</w:t>
      </w:r>
      <w:r w:rsidRPr="00F7136D">
        <w:rPr>
          <w:sz w:val="20"/>
          <w:szCs w:val="20"/>
        </w:rPr>
        <w:t xml:space="preserve">HSN </w:t>
      </w:r>
      <w:r w:rsidRPr="00F7136D">
        <w:rPr>
          <w:sz w:val="20"/>
          <w:szCs w:val="20"/>
        </w:rPr>
        <w:t>2022-0764</w:t>
      </w:r>
      <w:r>
        <w:rPr>
          <w:sz w:val="20"/>
          <w:szCs w:val="20"/>
        </w:rPr>
        <w:t>).</w:t>
      </w:r>
    </w:p>
  </w:footnote>
  <w:footnote w:id="11">
    <w:p w14:paraId="7D5EF797" w14:textId="77777777" w:rsidR="00CC3DBD" w:rsidRPr="002A592C" w:rsidRDefault="00CC3DBD" w:rsidP="00CC3DBD">
      <w:pPr>
        <w:pStyle w:val="Fotnotstext"/>
        <w:jc w:val="both"/>
        <w:rPr>
          <w:sz w:val="20"/>
          <w:szCs w:val="20"/>
        </w:rPr>
      </w:pPr>
      <w:r w:rsidRPr="002A592C">
        <w:rPr>
          <w:rStyle w:val="Fotnotsreferens"/>
          <w:sz w:val="20"/>
          <w:szCs w:val="20"/>
        </w:rPr>
        <w:footnoteRef/>
      </w:r>
      <w:r w:rsidRPr="002A592C">
        <w:rPr>
          <w:sz w:val="20"/>
          <w:szCs w:val="20"/>
        </w:rPr>
        <w:t xml:space="preserve"> Det saknas data för Västmanland och Jönköping för det </w:t>
      </w:r>
      <w:r>
        <w:rPr>
          <w:sz w:val="20"/>
          <w:szCs w:val="20"/>
        </w:rPr>
        <w:t>tredje</w:t>
      </w:r>
      <w:r w:rsidRPr="002A592C">
        <w:rPr>
          <w:sz w:val="20"/>
          <w:szCs w:val="20"/>
        </w:rPr>
        <w:t xml:space="preserve"> kvartalet 2011</w:t>
      </w:r>
      <w:r>
        <w:rPr>
          <w:sz w:val="20"/>
          <w:szCs w:val="20"/>
        </w:rPr>
        <w:t xml:space="preserve"> och för Stockholm för det fjärde kvartalet år 2011.</w:t>
      </w:r>
    </w:p>
  </w:footnote>
  <w:footnote w:id="12">
    <w:p w14:paraId="014B63B7" w14:textId="0416A42D" w:rsidR="00941AA8" w:rsidRPr="00AF2C2C" w:rsidRDefault="00941AA8" w:rsidP="00903A63">
      <w:pPr>
        <w:pStyle w:val="Fotnotstext"/>
        <w:jc w:val="both"/>
        <w:rPr>
          <w:sz w:val="20"/>
          <w:szCs w:val="20"/>
        </w:rPr>
      </w:pPr>
      <w:r w:rsidRPr="00903A63">
        <w:rPr>
          <w:rStyle w:val="Fotnotsreferens"/>
          <w:sz w:val="20"/>
          <w:szCs w:val="20"/>
        </w:rPr>
        <w:footnoteRef/>
      </w:r>
      <w:r w:rsidRPr="00903A63">
        <w:rPr>
          <w:sz w:val="20"/>
          <w:szCs w:val="20"/>
        </w:rPr>
        <w:t xml:space="preserve"> Det finns </w:t>
      </w:r>
      <w:r>
        <w:rPr>
          <w:sz w:val="20"/>
          <w:szCs w:val="20"/>
        </w:rPr>
        <w:t>ett ganska stort antal</w:t>
      </w:r>
      <w:r w:rsidRPr="00903A63">
        <w:rPr>
          <w:sz w:val="20"/>
          <w:szCs w:val="20"/>
        </w:rPr>
        <w:t xml:space="preserve"> </w:t>
      </w:r>
      <w:r>
        <w:rPr>
          <w:sz w:val="20"/>
          <w:szCs w:val="20"/>
        </w:rPr>
        <w:t>amerikanska studier</w:t>
      </w:r>
      <w:r w:rsidRPr="00903A63">
        <w:rPr>
          <w:sz w:val="20"/>
          <w:szCs w:val="20"/>
        </w:rPr>
        <w:t>, men de flesta av dessa lider av metodologiska problem som gör det svårt att dra slutsatser om orsakssamband</w:t>
      </w:r>
      <w:r>
        <w:rPr>
          <w:sz w:val="20"/>
          <w:szCs w:val="20"/>
        </w:rPr>
        <w:t xml:space="preserve"> </w:t>
      </w:r>
      <w:r w:rsidRPr="00903A63">
        <w:rPr>
          <w:sz w:val="20"/>
          <w:szCs w:val="20"/>
        </w:rPr>
        <w:t>(</w:t>
      </w:r>
      <w:r>
        <w:rPr>
          <w:sz w:val="20"/>
          <w:szCs w:val="20"/>
        </w:rPr>
        <w:t xml:space="preserve">se </w:t>
      </w:r>
      <w:r>
        <w:rPr>
          <w:sz w:val="20"/>
          <w:szCs w:val="20"/>
        </w:rPr>
        <w:t xml:space="preserve">t.ex. </w:t>
      </w:r>
      <w:r w:rsidR="000C580E">
        <w:rPr>
          <w:sz w:val="20"/>
          <w:szCs w:val="20"/>
        </w:rPr>
        <w:t xml:space="preserve">Herrera m.fl. 2014; </w:t>
      </w:r>
      <w:r w:rsidRPr="00903A63">
        <w:rPr>
          <w:sz w:val="20"/>
          <w:szCs w:val="20"/>
        </w:rPr>
        <w:t>Sloan och Valdamis 2023</w:t>
      </w:r>
      <w:r>
        <w:rPr>
          <w:sz w:val="20"/>
          <w:szCs w:val="20"/>
        </w:rPr>
        <w:t xml:space="preserve">). </w:t>
      </w:r>
      <w:r w:rsidRPr="00941AA8">
        <w:rPr>
          <w:sz w:val="20"/>
          <w:szCs w:val="20"/>
        </w:rPr>
        <w:t xml:space="preserve">En färsk studie av 258 sjukhusprivatiseringar i USA 2000‒2018 </w:t>
      </w:r>
      <w:r w:rsidR="000C580E">
        <w:rPr>
          <w:sz w:val="20"/>
          <w:szCs w:val="20"/>
        </w:rPr>
        <w:t>med starkare metodologi finner att</w:t>
      </w:r>
      <w:r w:rsidRPr="00941AA8">
        <w:rPr>
          <w:sz w:val="20"/>
          <w:szCs w:val="20"/>
        </w:rPr>
        <w:t xml:space="preserve"> </w:t>
      </w:r>
      <w:r w:rsidR="000C580E">
        <w:rPr>
          <w:sz w:val="20"/>
          <w:szCs w:val="20"/>
        </w:rPr>
        <w:t>p</w:t>
      </w:r>
      <w:r w:rsidRPr="00941AA8">
        <w:rPr>
          <w:sz w:val="20"/>
          <w:szCs w:val="20"/>
        </w:rPr>
        <w:t xml:space="preserve">rivatiserade sjukhus blev </w:t>
      </w:r>
      <w:r w:rsidR="000C580E">
        <w:rPr>
          <w:sz w:val="20"/>
          <w:szCs w:val="20"/>
        </w:rPr>
        <w:t xml:space="preserve">mer lönsamma (efter att i </w:t>
      </w:r>
      <w:r w:rsidR="00C75B2D">
        <w:rPr>
          <w:sz w:val="20"/>
          <w:szCs w:val="20"/>
        </w:rPr>
        <w:t>genom</w:t>
      </w:r>
      <w:r w:rsidR="000C580E">
        <w:rPr>
          <w:sz w:val="20"/>
          <w:szCs w:val="20"/>
        </w:rPr>
        <w:t>snitt ha gått med förlust)</w:t>
      </w:r>
      <w:r w:rsidRPr="00941AA8">
        <w:rPr>
          <w:sz w:val="20"/>
          <w:szCs w:val="20"/>
        </w:rPr>
        <w:t xml:space="preserve">. Detta drevs av ökade intäkter per patient men också av minskade </w:t>
      </w:r>
      <w:r>
        <w:rPr>
          <w:sz w:val="20"/>
          <w:szCs w:val="20"/>
        </w:rPr>
        <w:t xml:space="preserve">personalkostnader. </w:t>
      </w:r>
      <w:r w:rsidRPr="0098513D">
        <w:rPr>
          <w:rFonts w:ascii="Cambria" w:eastAsia="MS Mincho" w:hAnsi="Cambria"/>
          <w:sz w:val="20"/>
          <w:szCs w:val="20"/>
        </w:rPr>
        <w:t>Samtidigt tog de privatiserade sjukhusen in färre patienter, framför allt från oförsäkrade och fattiga grupper</w:t>
      </w:r>
      <w:r>
        <w:rPr>
          <w:rFonts w:ascii="Cambria" w:eastAsia="MS Mincho" w:hAnsi="Cambria"/>
          <w:sz w:val="20"/>
          <w:szCs w:val="20"/>
        </w:rPr>
        <w:t xml:space="preserve"> som får offentligt finansierad sjukvård via Medicaid, för vilka ersättningen är över 45 procent lägre än för människor med privat sjukförsäkring </w:t>
      </w:r>
      <w:r w:rsidRPr="00941AA8">
        <w:rPr>
          <w:sz w:val="20"/>
          <w:szCs w:val="20"/>
        </w:rPr>
        <w:t>(Duggan m.fl. 2023</w:t>
      </w:r>
      <w:r>
        <w:rPr>
          <w:sz w:val="20"/>
          <w:szCs w:val="20"/>
        </w:rPr>
        <w:t xml:space="preserve">). </w:t>
      </w:r>
      <w:r>
        <w:rPr>
          <w:rFonts w:ascii="Cambria" w:eastAsia="MS Mincho" w:hAnsi="Cambria"/>
          <w:sz w:val="20"/>
          <w:szCs w:val="20"/>
        </w:rPr>
        <w:t xml:space="preserve">Detta är mindre relevant i Sverige, där alla människor omfattas av offentligt finansierad </w:t>
      </w:r>
      <w:r w:rsidR="00C75B2D">
        <w:rPr>
          <w:rFonts w:ascii="Cambria" w:eastAsia="MS Mincho" w:hAnsi="Cambria"/>
          <w:sz w:val="20"/>
          <w:szCs w:val="20"/>
        </w:rPr>
        <w:t>sjuk</w:t>
      </w:r>
      <w:r>
        <w:rPr>
          <w:rFonts w:ascii="Cambria" w:eastAsia="MS Mincho" w:hAnsi="Cambria"/>
          <w:sz w:val="20"/>
          <w:szCs w:val="20"/>
        </w:rPr>
        <w:t>vård, även om det har implikationer för hur ersättningen bör differentieras efter vårdtyngd.</w:t>
      </w:r>
    </w:p>
  </w:footnote>
  <w:footnote w:id="13">
    <w:p w14:paraId="46E10C0D" w14:textId="4E7DCEBE" w:rsidR="007305E6" w:rsidRPr="005C7F60" w:rsidRDefault="007305E6" w:rsidP="00EC2B3D">
      <w:pPr>
        <w:pStyle w:val="Fotnotstext"/>
        <w:jc w:val="both"/>
        <w:rPr>
          <w:sz w:val="20"/>
          <w:szCs w:val="20"/>
        </w:rPr>
      </w:pPr>
      <w:r w:rsidRPr="007305E6">
        <w:rPr>
          <w:rStyle w:val="Fotnotsreferens"/>
          <w:sz w:val="20"/>
          <w:szCs w:val="20"/>
        </w:rPr>
        <w:footnoteRef/>
      </w:r>
      <w:r w:rsidRPr="007305E6">
        <w:rPr>
          <w:sz w:val="20"/>
          <w:szCs w:val="20"/>
        </w:rPr>
        <w:t xml:space="preserve"> </w:t>
      </w:r>
      <w:r>
        <w:rPr>
          <w:sz w:val="20"/>
          <w:szCs w:val="20"/>
        </w:rPr>
        <w:t xml:space="preserve">Detta betyder inte att </w:t>
      </w:r>
      <w:r w:rsidR="00820C74">
        <w:rPr>
          <w:sz w:val="20"/>
          <w:szCs w:val="20"/>
        </w:rPr>
        <w:t>man alltid</w:t>
      </w:r>
      <w:r>
        <w:rPr>
          <w:sz w:val="20"/>
          <w:szCs w:val="20"/>
        </w:rPr>
        <w:t xml:space="preserve"> </w:t>
      </w:r>
      <w:r w:rsidR="00820C74">
        <w:rPr>
          <w:sz w:val="20"/>
          <w:szCs w:val="20"/>
        </w:rPr>
        <w:t>finner</w:t>
      </w:r>
      <w:r>
        <w:rPr>
          <w:sz w:val="20"/>
          <w:szCs w:val="20"/>
        </w:rPr>
        <w:t xml:space="preserve"> positiva effekter. </w:t>
      </w:r>
      <w:r w:rsidR="00376DAF">
        <w:rPr>
          <w:sz w:val="20"/>
          <w:szCs w:val="20"/>
        </w:rPr>
        <w:t>Forskning</w:t>
      </w:r>
      <w:r>
        <w:rPr>
          <w:sz w:val="20"/>
          <w:szCs w:val="20"/>
        </w:rPr>
        <w:t xml:space="preserve"> </w:t>
      </w:r>
      <w:r w:rsidR="00376DAF">
        <w:rPr>
          <w:sz w:val="20"/>
          <w:szCs w:val="20"/>
        </w:rPr>
        <w:t>finner</w:t>
      </w:r>
      <w:r>
        <w:rPr>
          <w:sz w:val="20"/>
          <w:szCs w:val="20"/>
        </w:rPr>
        <w:t xml:space="preserve"> exempelvis att </w:t>
      </w:r>
      <w:r w:rsidR="00376DAF">
        <w:rPr>
          <w:sz w:val="20"/>
          <w:szCs w:val="20"/>
        </w:rPr>
        <w:t>områden med</w:t>
      </w:r>
      <w:r w:rsidR="00376DAF" w:rsidRPr="00376DAF">
        <w:rPr>
          <w:sz w:val="20"/>
          <w:szCs w:val="20"/>
        </w:rPr>
        <w:t xml:space="preserve"> högre potentiell konkurrens </w:t>
      </w:r>
      <w:r w:rsidR="00376DAF">
        <w:rPr>
          <w:sz w:val="20"/>
          <w:szCs w:val="20"/>
        </w:rPr>
        <w:t xml:space="preserve">mellan offentliga utförare </w:t>
      </w:r>
      <w:r w:rsidR="00376DAF" w:rsidRPr="00376DAF">
        <w:rPr>
          <w:sz w:val="20"/>
          <w:szCs w:val="20"/>
        </w:rPr>
        <w:t xml:space="preserve">på grund av marknadsstrukturen </w:t>
      </w:r>
      <w:r>
        <w:rPr>
          <w:sz w:val="20"/>
          <w:szCs w:val="20"/>
        </w:rPr>
        <w:t xml:space="preserve">minskade kvaliteten och ökade vårdköerna i viss (men inte all) </w:t>
      </w:r>
      <w:r>
        <w:rPr>
          <w:sz w:val="20"/>
          <w:szCs w:val="20"/>
        </w:rPr>
        <w:t>elektiv vård</w:t>
      </w:r>
      <w:r w:rsidR="00376DAF">
        <w:rPr>
          <w:sz w:val="20"/>
          <w:szCs w:val="20"/>
        </w:rPr>
        <w:t xml:space="preserve"> efter en reform som tillät patienter välja (offentlig) utförare</w:t>
      </w:r>
      <w:r>
        <w:rPr>
          <w:sz w:val="20"/>
          <w:szCs w:val="20"/>
        </w:rPr>
        <w:t xml:space="preserve">, </w:t>
      </w:r>
      <w:r w:rsidR="00820C74">
        <w:rPr>
          <w:sz w:val="20"/>
          <w:szCs w:val="20"/>
        </w:rPr>
        <w:t>även om</w:t>
      </w:r>
      <w:r>
        <w:rPr>
          <w:sz w:val="20"/>
          <w:szCs w:val="20"/>
        </w:rPr>
        <w:t xml:space="preserve"> </w:t>
      </w:r>
      <w:r w:rsidR="00EC2B3D">
        <w:rPr>
          <w:sz w:val="20"/>
          <w:szCs w:val="20"/>
        </w:rPr>
        <w:t xml:space="preserve">jämlikheten i väntetider </w:t>
      </w:r>
      <w:r w:rsidR="00376DAF">
        <w:rPr>
          <w:sz w:val="20"/>
          <w:szCs w:val="20"/>
        </w:rPr>
        <w:t xml:space="preserve">samtidigt </w:t>
      </w:r>
      <w:r w:rsidR="00EC2B3D">
        <w:rPr>
          <w:sz w:val="20"/>
          <w:szCs w:val="20"/>
        </w:rPr>
        <w:t xml:space="preserve">ökade (Moscelli </w:t>
      </w:r>
      <w:r w:rsidR="00EC2B3D">
        <w:rPr>
          <w:sz w:val="20"/>
          <w:szCs w:val="20"/>
        </w:rPr>
        <w:t xml:space="preserve">m.fl. 2021, 2023). Det finns </w:t>
      </w:r>
      <w:r w:rsidR="00376DAF">
        <w:rPr>
          <w:sz w:val="20"/>
          <w:szCs w:val="20"/>
        </w:rPr>
        <w:t xml:space="preserve">dock </w:t>
      </w:r>
      <w:r w:rsidR="00EC2B3D">
        <w:rPr>
          <w:sz w:val="20"/>
          <w:szCs w:val="20"/>
        </w:rPr>
        <w:t>metodologiska frågetecken</w:t>
      </w:r>
      <w:r w:rsidR="000E45C8">
        <w:rPr>
          <w:sz w:val="20"/>
          <w:szCs w:val="20"/>
        </w:rPr>
        <w:t xml:space="preserve"> som gör det svårt att dra starka slutsatser</w:t>
      </w:r>
      <w:r w:rsidR="00FC66F3">
        <w:rPr>
          <w:sz w:val="20"/>
          <w:szCs w:val="20"/>
        </w:rPr>
        <w:t xml:space="preserve"> från studierna</w:t>
      </w:r>
      <w:r w:rsidR="00376DAF">
        <w:rPr>
          <w:sz w:val="20"/>
          <w:szCs w:val="20"/>
        </w:rPr>
        <w:t>,</w:t>
      </w:r>
      <w:r w:rsidR="000E45C8">
        <w:rPr>
          <w:sz w:val="20"/>
          <w:szCs w:val="20"/>
        </w:rPr>
        <w:t xml:space="preserve"> bland annat eftersom </w:t>
      </w:r>
      <w:r w:rsidR="00580A0F">
        <w:rPr>
          <w:sz w:val="20"/>
          <w:szCs w:val="20"/>
        </w:rPr>
        <w:t xml:space="preserve">sjukhus </w:t>
      </w:r>
      <w:r w:rsidR="000E45C8">
        <w:rPr>
          <w:sz w:val="20"/>
          <w:szCs w:val="20"/>
        </w:rPr>
        <w:t xml:space="preserve">med </w:t>
      </w:r>
      <w:r w:rsidR="00376DAF">
        <w:rPr>
          <w:sz w:val="20"/>
          <w:szCs w:val="20"/>
        </w:rPr>
        <w:t xml:space="preserve">högre </w:t>
      </w:r>
      <w:r w:rsidR="00154610">
        <w:rPr>
          <w:sz w:val="20"/>
          <w:szCs w:val="20"/>
        </w:rPr>
        <w:t xml:space="preserve">nivåer av </w:t>
      </w:r>
      <w:r w:rsidR="00FC66F3">
        <w:rPr>
          <w:sz w:val="20"/>
          <w:szCs w:val="20"/>
        </w:rPr>
        <w:t>potentiell</w:t>
      </w:r>
      <w:r w:rsidR="000E45C8">
        <w:rPr>
          <w:sz w:val="20"/>
          <w:szCs w:val="20"/>
        </w:rPr>
        <w:t xml:space="preserve"> konkurrens</w:t>
      </w:r>
      <w:r w:rsidR="00FC66F3">
        <w:rPr>
          <w:sz w:val="20"/>
          <w:szCs w:val="20"/>
        </w:rPr>
        <w:t xml:space="preserve"> innan reformen</w:t>
      </w:r>
      <w:r w:rsidR="000E45C8">
        <w:rPr>
          <w:sz w:val="20"/>
          <w:szCs w:val="20"/>
        </w:rPr>
        <w:t xml:space="preserve"> </w:t>
      </w:r>
      <w:r w:rsidR="00376DAF">
        <w:rPr>
          <w:sz w:val="20"/>
          <w:szCs w:val="20"/>
        </w:rPr>
        <w:t xml:space="preserve">också </w:t>
      </w:r>
      <w:r w:rsidR="000E45C8">
        <w:rPr>
          <w:sz w:val="20"/>
          <w:szCs w:val="20"/>
        </w:rPr>
        <w:t>såg en högre ökning av antalet diagnoser och patienter med större sjukdomsbörda efter reformen</w:t>
      </w:r>
      <w:r w:rsidR="00376DAF">
        <w:rPr>
          <w:sz w:val="20"/>
          <w:szCs w:val="20"/>
        </w:rPr>
        <w:t xml:space="preserve">. </w:t>
      </w:r>
      <w:r w:rsidR="0018356B">
        <w:rPr>
          <w:sz w:val="20"/>
          <w:szCs w:val="20"/>
        </w:rPr>
        <w:t xml:space="preserve">Hur som helst </w:t>
      </w:r>
      <w:r w:rsidR="00EC2B3D">
        <w:rPr>
          <w:sz w:val="20"/>
          <w:szCs w:val="20"/>
        </w:rPr>
        <w:t xml:space="preserve">analyserar </w:t>
      </w:r>
      <w:r w:rsidR="0018356B">
        <w:rPr>
          <w:sz w:val="20"/>
          <w:szCs w:val="20"/>
        </w:rPr>
        <w:t xml:space="preserve">dessa studier </w:t>
      </w:r>
      <w:r w:rsidR="00EC2B3D">
        <w:rPr>
          <w:sz w:val="20"/>
          <w:szCs w:val="20"/>
        </w:rPr>
        <w:t xml:space="preserve">inte effekterna av konkurrens från </w:t>
      </w:r>
      <w:r w:rsidR="00EC2B3D" w:rsidRPr="005C7F60">
        <w:rPr>
          <w:i/>
          <w:iCs/>
          <w:sz w:val="20"/>
          <w:szCs w:val="20"/>
        </w:rPr>
        <w:t>privata vårdgivare</w:t>
      </w:r>
      <w:r w:rsidR="00820C74">
        <w:rPr>
          <w:sz w:val="20"/>
          <w:szCs w:val="20"/>
        </w:rPr>
        <w:t xml:space="preserve"> och </w:t>
      </w:r>
      <w:r w:rsidR="00820C74" w:rsidRPr="005C7F60">
        <w:rPr>
          <w:i/>
          <w:iCs/>
          <w:sz w:val="20"/>
          <w:szCs w:val="20"/>
        </w:rPr>
        <w:t>utökat utbud</w:t>
      </w:r>
      <w:r w:rsidR="00EC2B3D">
        <w:rPr>
          <w:sz w:val="20"/>
          <w:szCs w:val="20"/>
        </w:rPr>
        <w:t>.</w:t>
      </w:r>
    </w:p>
  </w:footnote>
  <w:footnote w:id="14">
    <w:p w14:paraId="4536C9F7" w14:textId="35C772AB" w:rsidR="00051B60" w:rsidRPr="00E17DA1" w:rsidRDefault="00051B60" w:rsidP="000738C1">
      <w:pPr>
        <w:pStyle w:val="Fotnotstext"/>
        <w:jc w:val="both"/>
        <w:rPr>
          <w:sz w:val="20"/>
          <w:szCs w:val="20"/>
        </w:rPr>
      </w:pPr>
      <w:r w:rsidRPr="007305E6">
        <w:rPr>
          <w:rStyle w:val="Fotnotsreferens"/>
          <w:sz w:val="20"/>
          <w:szCs w:val="20"/>
        </w:rPr>
        <w:footnoteRef/>
      </w:r>
      <w:r w:rsidRPr="007305E6">
        <w:rPr>
          <w:sz w:val="20"/>
          <w:szCs w:val="20"/>
        </w:rPr>
        <w:t xml:space="preserve"> </w:t>
      </w:r>
      <w:r w:rsidRPr="007305E6">
        <w:rPr>
          <w:rFonts w:ascii="Cambria" w:eastAsia="MS Mincho" w:hAnsi="Cambria"/>
          <w:sz w:val="20"/>
          <w:szCs w:val="20"/>
        </w:rPr>
        <w:t>Vårdtyngden</w:t>
      </w:r>
      <w:r w:rsidRPr="000738C1">
        <w:rPr>
          <w:rFonts w:ascii="Cambria" w:eastAsia="MS Mincho" w:hAnsi="Cambria"/>
          <w:sz w:val="20"/>
          <w:szCs w:val="20"/>
        </w:rPr>
        <w:t xml:space="preserve"> tycks </w:t>
      </w:r>
      <w:r w:rsidR="00EE72D0" w:rsidRPr="000738C1">
        <w:rPr>
          <w:rFonts w:ascii="Cambria" w:eastAsia="MS Mincho" w:hAnsi="Cambria"/>
          <w:sz w:val="20"/>
          <w:szCs w:val="20"/>
        </w:rPr>
        <w:t xml:space="preserve">öka </w:t>
      </w:r>
      <w:r w:rsidR="00E17DA1">
        <w:rPr>
          <w:rFonts w:ascii="Cambria" w:eastAsia="MS Mincho" w:hAnsi="Cambria"/>
          <w:sz w:val="20"/>
          <w:szCs w:val="20"/>
        </w:rPr>
        <w:t>även på</w:t>
      </w:r>
      <w:r w:rsidR="00EE72D0" w:rsidRPr="000738C1">
        <w:rPr>
          <w:rFonts w:ascii="Cambria" w:eastAsia="MS Mincho" w:hAnsi="Cambria"/>
          <w:sz w:val="20"/>
          <w:szCs w:val="20"/>
        </w:rPr>
        <w:t xml:space="preserve"> de offentliga sjukhusen</w:t>
      </w:r>
      <w:r w:rsidR="00843408">
        <w:rPr>
          <w:rFonts w:ascii="Cambria" w:eastAsia="MS Mincho" w:hAnsi="Cambria"/>
          <w:sz w:val="20"/>
          <w:szCs w:val="20"/>
        </w:rPr>
        <w:t xml:space="preserve"> </w:t>
      </w:r>
      <w:r w:rsidR="0018356B">
        <w:rPr>
          <w:rFonts w:ascii="Cambria" w:eastAsia="MS Mincho" w:hAnsi="Cambria"/>
          <w:sz w:val="20"/>
          <w:szCs w:val="20"/>
        </w:rPr>
        <w:t xml:space="preserve">i England </w:t>
      </w:r>
      <w:r w:rsidR="00843408">
        <w:rPr>
          <w:rFonts w:ascii="Cambria" w:eastAsia="MS Mincho" w:hAnsi="Cambria"/>
          <w:sz w:val="20"/>
          <w:szCs w:val="20"/>
        </w:rPr>
        <w:t xml:space="preserve">– och andra analyser indikerar att de privata klinikerna </w:t>
      </w:r>
      <w:r w:rsidR="004A2A91">
        <w:rPr>
          <w:rFonts w:ascii="Cambria" w:eastAsia="MS Mincho" w:hAnsi="Cambria"/>
          <w:sz w:val="20"/>
          <w:szCs w:val="20"/>
        </w:rPr>
        <w:t xml:space="preserve">av olika anledningar </w:t>
      </w:r>
      <w:r w:rsidR="00F37AA3">
        <w:rPr>
          <w:rFonts w:ascii="Cambria" w:eastAsia="MS Mincho" w:hAnsi="Cambria"/>
          <w:sz w:val="20"/>
          <w:szCs w:val="20"/>
        </w:rPr>
        <w:t>har en mer fördelaktig patientmix</w:t>
      </w:r>
      <w:r w:rsidR="005A65D4">
        <w:rPr>
          <w:rFonts w:ascii="Cambria" w:eastAsia="MS Mincho" w:hAnsi="Cambria"/>
          <w:sz w:val="20"/>
          <w:szCs w:val="20"/>
        </w:rPr>
        <w:t xml:space="preserve"> (</w:t>
      </w:r>
      <w:r w:rsidR="005A65D4">
        <w:rPr>
          <w:rFonts w:ascii="Cambria" w:eastAsia="MS Mincho" w:hAnsi="Cambria"/>
          <w:sz w:val="20"/>
          <w:szCs w:val="20"/>
        </w:rPr>
        <w:t xml:space="preserve">Beckert och Kelly 2021) – </w:t>
      </w:r>
      <w:r w:rsidR="000738C1" w:rsidRPr="000738C1">
        <w:rPr>
          <w:rFonts w:ascii="Cambria" w:eastAsia="MS Mincho" w:hAnsi="Cambria"/>
          <w:sz w:val="20"/>
          <w:szCs w:val="20"/>
        </w:rPr>
        <w:t>men det</w:t>
      </w:r>
      <w:r w:rsidR="000738C1">
        <w:rPr>
          <w:rFonts w:ascii="Cambria" w:eastAsia="MS Mincho" w:hAnsi="Cambria"/>
          <w:sz w:val="20"/>
          <w:szCs w:val="20"/>
        </w:rPr>
        <w:t xml:space="preserve">ta </w:t>
      </w:r>
      <w:r w:rsidR="00E17DA1">
        <w:rPr>
          <w:rFonts w:ascii="Cambria" w:eastAsia="MS Mincho" w:hAnsi="Cambria"/>
          <w:sz w:val="20"/>
          <w:szCs w:val="20"/>
        </w:rPr>
        <w:t xml:space="preserve">verkar </w:t>
      </w:r>
      <w:r w:rsidR="000738C1">
        <w:rPr>
          <w:rFonts w:ascii="Cambria" w:eastAsia="MS Mincho" w:hAnsi="Cambria"/>
          <w:sz w:val="20"/>
          <w:szCs w:val="20"/>
        </w:rPr>
        <w:t xml:space="preserve">ha varit en medveten policy </w:t>
      </w:r>
      <w:r w:rsidR="00AF1FA9">
        <w:rPr>
          <w:rFonts w:ascii="Cambria" w:eastAsia="MS Mincho" w:hAnsi="Cambria"/>
          <w:sz w:val="20"/>
          <w:szCs w:val="20"/>
        </w:rPr>
        <w:t>från regeringens sida</w:t>
      </w:r>
      <w:r w:rsidR="00493734">
        <w:rPr>
          <w:rFonts w:ascii="Cambria" w:eastAsia="MS Mincho" w:hAnsi="Cambria"/>
          <w:sz w:val="20"/>
          <w:szCs w:val="20"/>
        </w:rPr>
        <w:t xml:space="preserve">: </w:t>
      </w:r>
      <w:r w:rsidR="00AF1FA9">
        <w:rPr>
          <w:rFonts w:ascii="Cambria" w:eastAsia="MS Mincho" w:hAnsi="Cambria"/>
          <w:sz w:val="20"/>
          <w:szCs w:val="20"/>
        </w:rPr>
        <w:t>genom att dela</w:t>
      </w:r>
      <w:r w:rsidR="000738C1" w:rsidRPr="000738C1">
        <w:rPr>
          <w:rFonts w:ascii="Cambria" w:eastAsia="MS Mincho" w:hAnsi="Cambria"/>
          <w:sz w:val="20"/>
          <w:szCs w:val="20"/>
        </w:rPr>
        <w:t xml:space="preserve"> </w:t>
      </w:r>
      <w:r w:rsidR="00AF1FA9">
        <w:rPr>
          <w:rFonts w:ascii="Cambria" w:eastAsia="MS Mincho" w:hAnsi="Cambria"/>
          <w:sz w:val="20"/>
          <w:szCs w:val="20"/>
        </w:rPr>
        <w:t>upp ansvaret för</w:t>
      </w:r>
      <w:r w:rsidR="000738C1" w:rsidRPr="000738C1">
        <w:rPr>
          <w:rFonts w:ascii="Cambria" w:eastAsia="MS Mincho" w:hAnsi="Cambria"/>
          <w:sz w:val="20"/>
          <w:szCs w:val="20"/>
        </w:rPr>
        <w:t xml:space="preserve"> </w:t>
      </w:r>
      <w:r w:rsidR="000738C1">
        <w:rPr>
          <w:rFonts w:ascii="Cambria" w:eastAsia="MS Mincho" w:hAnsi="Cambria"/>
          <w:sz w:val="20"/>
          <w:szCs w:val="20"/>
        </w:rPr>
        <w:t>patienter med olika behov</w:t>
      </w:r>
      <w:r w:rsidR="00493734">
        <w:rPr>
          <w:rFonts w:ascii="Cambria" w:eastAsia="MS Mincho" w:hAnsi="Cambria"/>
          <w:sz w:val="20"/>
          <w:szCs w:val="20"/>
        </w:rPr>
        <w:t xml:space="preserve"> kan man öka effektiviteten totalt sett</w:t>
      </w:r>
      <w:r w:rsidR="000738C1" w:rsidRPr="000738C1">
        <w:rPr>
          <w:rFonts w:ascii="Cambria" w:eastAsia="MS Mincho" w:hAnsi="Cambria"/>
          <w:sz w:val="20"/>
          <w:szCs w:val="20"/>
        </w:rPr>
        <w:t>.</w:t>
      </w:r>
      <w:r w:rsidR="00843408">
        <w:rPr>
          <w:rFonts w:ascii="Cambria" w:eastAsia="MS Mincho" w:hAnsi="Cambria"/>
          <w:sz w:val="20"/>
          <w:szCs w:val="20"/>
        </w:rPr>
        <w:t xml:space="preserve"> </w:t>
      </w:r>
      <w:r w:rsidR="00AF1FA9">
        <w:rPr>
          <w:rFonts w:ascii="Cambria" w:eastAsia="MS Mincho" w:hAnsi="Cambria"/>
          <w:sz w:val="20"/>
          <w:szCs w:val="20"/>
        </w:rPr>
        <w:t xml:space="preserve">Författarna noterar att en sådan uppdelning kan stärka effektiviteten, men att det i så fall </w:t>
      </w:r>
      <w:r w:rsidR="00D061BF">
        <w:rPr>
          <w:rFonts w:ascii="Cambria" w:eastAsia="MS Mincho" w:hAnsi="Cambria"/>
          <w:sz w:val="20"/>
          <w:szCs w:val="20"/>
        </w:rPr>
        <w:t>är viktigt</w:t>
      </w:r>
      <w:r w:rsidR="00AF1FA9">
        <w:rPr>
          <w:rFonts w:ascii="Cambria" w:eastAsia="MS Mincho" w:hAnsi="Cambria"/>
          <w:sz w:val="20"/>
          <w:szCs w:val="20"/>
        </w:rPr>
        <w:t xml:space="preserve"> att säkerställa att ersättningen är ordentligt differentierad för att kompensera för olika vårdtyngd</w:t>
      </w:r>
      <w:r w:rsidR="00493734">
        <w:rPr>
          <w:rFonts w:ascii="Cambria" w:eastAsia="MS Mincho" w:hAnsi="Cambria"/>
          <w:sz w:val="20"/>
          <w:szCs w:val="20"/>
        </w:rPr>
        <w:t>.</w:t>
      </w:r>
      <w:r w:rsidR="000E56A2">
        <w:rPr>
          <w:rFonts w:ascii="Cambria" w:eastAsia="MS Mincho" w:hAnsi="Cambria"/>
          <w:sz w:val="20"/>
          <w:szCs w:val="20"/>
        </w:rPr>
        <w:t xml:space="preserve"> Annars </w:t>
      </w:r>
      <w:r w:rsidR="00E17DA1">
        <w:rPr>
          <w:rFonts w:ascii="Cambria" w:eastAsia="MS Mincho" w:hAnsi="Cambria"/>
          <w:sz w:val="20"/>
          <w:szCs w:val="20"/>
        </w:rPr>
        <w:t>riskerar</w:t>
      </w:r>
      <w:r w:rsidR="000E56A2">
        <w:rPr>
          <w:rFonts w:ascii="Cambria" w:eastAsia="MS Mincho" w:hAnsi="Cambria"/>
          <w:sz w:val="20"/>
          <w:szCs w:val="20"/>
        </w:rPr>
        <w:t xml:space="preserve"> </w:t>
      </w:r>
      <w:r w:rsidR="00E17DA1">
        <w:rPr>
          <w:rFonts w:ascii="Cambria" w:eastAsia="MS Mincho" w:hAnsi="Cambria"/>
          <w:sz w:val="20"/>
          <w:szCs w:val="20"/>
        </w:rPr>
        <w:t xml:space="preserve">vårdgivare </w:t>
      </w:r>
      <w:r w:rsidR="000E56A2">
        <w:rPr>
          <w:rFonts w:ascii="Cambria" w:eastAsia="MS Mincho" w:hAnsi="Cambria"/>
          <w:sz w:val="20"/>
          <w:szCs w:val="20"/>
        </w:rPr>
        <w:t xml:space="preserve">som </w:t>
      </w:r>
      <w:r w:rsidR="00B25E74">
        <w:rPr>
          <w:rFonts w:ascii="Cambria" w:eastAsia="MS Mincho" w:hAnsi="Cambria"/>
          <w:sz w:val="20"/>
          <w:szCs w:val="20"/>
        </w:rPr>
        <w:t>behandlar</w:t>
      </w:r>
      <w:r w:rsidR="000E56A2">
        <w:rPr>
          <w:rFonts w:ascii="Cambria" w:eastAsia="MS Mincho" w:hAnsi="Cambria"/>
          <w:sz w:val="20"/>
          <w:szCs w:val="20"/>
        </w:rPr>
        <w:t xml:space="preserve"> de svårare fallen </w:t>
      </w:r>
      <w:r w:rsidR="00E17DA1">
        <w:rPr>
          <w:rFonts w:ascii="Cambria" w:eastAsia="MS Mincho" w:hAnsi="Cambria"/>
          <w:sz w:val="20"/>
          <w:szCs w:val="20"/>
        </w:rPr>
        <w:t xml:space="preserve">att </w:t>
      </w:r>
      <w:r w:rsidR="000E56A2">
        <w:rPr>
          <w:rFonts w:ascii="Cambria" w:eastAsia="MS Mincho" w:hAnsi="Cambria"/>
          <w:sz w:val="20"/>
          <w:szCs w:val="20"/>
        </w:rPr>
        <w:t>förlora ekonomiskt på en uppdelning.</w:t>
      </w:r>
    </w:p>
  </w:footnote>
  <w:footnote w:id="15">
    <w:p w14:paraId="089AFE83" w14:textId="5AE2876D" w:rsidR="00BE665D" w:rsidRPr="00F62271" w:rsidRDefault="00BE665D" w:rsidP="004E02D1">
      <w:pPr>
        <w:pStyle w:val="Fotnotstext"/>
        <w:jc w:val="both"/>
        <w:rPr>
          <w:sz w:val="20"/>
          <w:szCs w:val="20"/>
        </w:rPr>
      </w:pPr>
      <w:r w:rsidRPr="004E02D1">
        <w:rPr>
          <w:rStyle w:val="Fotnotsreferens"/>
          <w:sz w:val="20"/>
          <w:szCs w:val="20"/>
        </w:rPr>
        <w:footnoteRef/>
      </w:r>
      <w:r w:rsidRPr="004E02D1">
        <w:rPr>
          <w:sz w:val="20"/>
          <w:szCs w:val="20"/>
        </w:rPr>
        <w:t xml:space="preserve"> Att kvaliteten inte påverkades är inte speciellt konstigt eftersom de offentliga sjukhusens incitament </w:t>
      </w:r>
      <w:r w:rsidR="00897F33">
        <w:rPr>
          <w:sz w:val="20"/>
          <w:szCs w:val="20"/>
        </w:rPr>
        <w:t>knappt</w:t>
      </w:r>
      <w:r w:rsidR="00897F33" w:rsidRPr="004E02D1">
        <w:rPr>
          <w:sz w:val="20"/>
          <w:szCs w:val="20"/>
        </w:rPr>
        <w:t xml:space="preserve"> </w:t>
      </w:r>
      <w:r w:rsidRPr="004E02D1">
        <w:rPr>
          <w:sz w:val="20"/>
          <w:szCs w:val="20"/>
        </w:rPr>
        <w:t>påverkades i praktiken. Detta för att möjligheten att välja ett privat sjukhus enbart tycks ha avlastat de offentliga sjukhusen</w:t>
      </w:r>
      <w:r>
        <w:rPr>
          <w:sz w:val="20"/>
          <w:szCs w:val="20"/>
        </w:rPr>
        <w:t xml:space="preserve"> genom att ge vård tidigare till patienter som annars hade stått i kö</w:t>
      </w:r>
      <w:r w:rsidR="004E02D1">
        <w:rPr>
          <w:sz w:val="20"/>
          <w:szCs w:val="20"/>
        </w:rPr>
        <w:t xml:space="preserve"> till dessa sjukhus</w:t>
      </w:r>
      <w:r w:rsidRPr="004E02D1">
        <w:rPr>
          <w:sz w:val="20"/>
          <w:szCs w:val="20"/>
        </w:rPr>
        <w:t>.</w:t>
      </w:r>
    </w:p>
  </w:footnote>
  <w:footnote w:id="16">
    <w:p w14:paraId="3F23FEF6" w14:textId="7A8CEAFA" w:rsidR="001C78B3" w:rsidRPr="004A2A91" w:rsidRDefault="001C78B3" w:rsidP="007079F2">
      <w:pPr>
        <w:pStyle w:val="Fotnotstext"/>
        <w:jc w:val="both"/>
        <w:rPr>
          <w:sz w:val="20"/>
          <w:szCs w:val="20"/>
        </w:rPr>
      </w:pPr>
      <w:r w:rsidRPr="007079F2">
        <w:rPr>
          <w:rStyle w:val="Fotnotsreferens"/>
          <w:sz w:val="20"/>
          <w:szCs w:val="20"/>
        </w:rPr>
        <w:footnoteRef/>
      </w:r>
      <w:r w:rsidRPr="007079F2">
        <w:rPr>
          <w:sz w:val="20"/>
          <w:szCs w:val="20"/>
        </w:rPr>
        <w:t xml:space="preserve"> </w:t>
      </w:r>
      <w:r w:rsidR="009D7820" w:rsidRPr="009D7820">
        <w:rPr>
          <w:sz w:val="20"/>
          <w:szCs w:val="20"/>
        </w:rPr>
        <w:t xml:space="preserve">Här kan man också notera en studie av engelska sjukhus, som visar att konkurrens ger upphov till högre managementkvalitet (Bloom </w:t>
      </w:r>
      <w:r w:rsidR="009D7820" w:rsidRPr="009D7820">
        <w:rPr>
          <w:sz w:val="20"/>
          <w:szCs w:val="20"/>
        </w:rPr>
        <w:t>m.fl. 2015).</w:t>
      </w:r>
      <w:r w:rsidR="009D7820">
        <w:rPr>
          <w:sz w:val="20"/>
          <w:szCs w:val="20"/>
        </w:rPr>
        <w:t xml:space="preserve"> </w:t>
      </w:r>
      <w:r w:rsidR="009D7820" w:rsidRPr="009D7820">
        <w:rPr>
          <w:sz w:val="20"/>
          <w:szCs w:val="20"/>
        </w:rPr>
        <w:t>Detta är relevant eftersom sjukhus med god managementkvalitet tenderar att ha bättre vårdutfall (Bloom m.fl. 2014).</w:t>
      </w:r>
    </w:p>
  </w:footnote>
  <w:footnote w:id="17">
    <w:p w14:paraId="14B33733" w14:textId="68073F10" w:rsidR="003120E9" w:rsidRPr="0006594E" w:rsidRDefault="003120E9" w:rsidP="001631DF">
      <w:pPr>
        <w:pStyle w:val="Fotnotstext"/>
        <w:jc w:val="both"/>
        <w:rPr>
          <w:sz w:val="20"/>
          <w:szCs w:val="20"/>
        </w:rPr>
      </w:pPr>
      <w:r w:rsidRPr="001631DF">
        <w:rPr>
          <w:rStyle w:val="Fotnotsreferens"/>
          <w:sz w:val="20"/>
          <w:szCs w:val="20"/>
        </w:rPr>
        <w:footnoteRef/>
      </w:r>
      <w:r w:rsidRPr="001631DF">
        <w:rPr>
          <w:sz w:val="20"/>
          <w:szCs w:val="20"/>
        </w:rPr>
        <w:t xml:space="preserve"> Effekterna av privatiseringar</w:t>
      </w:r>
      <w:r w:rsidR="00462F5D">
        <w:rPr>
          <w:sz w:val="20"/>
          <w:szCs w:val="20"/>
        </w:rPr>
        <w:t xml:space="preserve"> till vinstdrivande organisationer</w:t>
      </w:r>
      <w:r w:rsidRPr="001631DF">
        <w:rPr>
          <w:sz w:val="20"/>
          <w:szCs w:val="20"/>
        </w:rPr>
        <w:t xml:space="preserve"> tycks delvis </w:t>
      </w:r>
      <w:r w:rsidR="00462F5D">
        <w:rPr>
          <w:sz w:val="20"/>
          <w:szCs w:val="20"/>
        </w:rPr>
        <w:t>upp</w:t>
      </w:r>
      <w:r w:rsidRPr="001631DF">
        <w:rPr>
          <w:sz w:val="20"/>
          <w:szCs w:val="20"/>
        </w:rPr>
        <w:t xml:space="preserve">nås genom </w:t>
      </w:r>
      <w:r>
        <w:rPr>
          <w:sz w:val="20"/>
          <w:szCs w:val="20"/>
        </w:rPr>
        <w:t>att man drar ner på personalstyrkan. Dessa effekter är överlägset störst bland den administrativa personalen, men man minskar också antalet sjuksköterskor. Samtidigt finner man inga effekter på mortaliteten av vinstdrivande privatiseringar.</w:t>
      </w:r>
      <w:r w:rsidR="00D01848">
        <w:rPr>
          <w:sz w:val="20"/>
          <w:szCs w:val="20"/>
        </w:rPr>
        <w:t xml:space="preserve"> En tolkning av detta är att offentliga sjukhus som sedan privatiseras sannolikt är överbemannade, något som justeras </w:t>
      </w:r>
      <w:r w:rsidR="00462F5D">
        <w:rPr>
          <w:sz w:val="20"/>
          <w:szCs w:val="20"/>
        </w:rPr>
        <w:t>i samband med privatiseringen</w:t>
      </w:r>
      <w:r>
        <w:rPr>
          <w:sz w:val="20"/>
          <w:szCs w:val="20"/>
        </w:rPr>
        <w:t xml:space="preserve"> </w:t>
      </w:r>
      <w:r w:rsidRPr="001631DF">
        <w:rPr>
          <w:sz w:val="20"/>
          <w:szCs w:val="20"/>
        </w:rPr>
        <w:t>(</w:t>
      </w:r>
      <w:r w:rsidRPr="001631DF">
        <w:rPr>
          <w:sz w:val="20"/>
          <w:szCs w:val="20"/>
        </w:rPr>
        <w:t xml:space="preserve">Heimeshoff </w:t>
      </w:r>
      <w:r w:rsidRPr="001631DF">
        <w:rPr>
          <w:sz w:val="20"/>
          <w:szCs w:val="20"/>
        </w:rPr>
        <w:t xml:space="preserve">m.fl. 2014).  </w:t>
      </w:r>
    </w:p>
  </w:footnote>
  <w:footnote w:id="18">
    <w:p w14:paraId="025F11E2" w14:textId="1899615D" w:rsidR="000976C7" w:rsidRPr="000976C7" w:rsidRDefault="000976C7" w:rsidP="000976C7">
      <w:pPr>
        <w:pStyle w:val="Fotnotstext"/>
        <w:jc w:val="both"/>
        <w:rPr>
          <w:sz w:val="20"/>
          <w:szCs w:val="20"/>
        </w:rPr>
      </w:pPr>
      <w:r w:rsidRPr="000976C7">
        <w:rPr>
          <w:rStyle w:val="Fotnotsreferens"/>
          <w:sz w:val="20"/>
          <w:szCs w:val="20"/>
        </w:rPr>
        <w:footnoteRef/>
      </w:r>
      <w:r w:rsidRPr="000976C7">
        <w:rPr>
          <w:sz w:val="20"/>
          <w:szCs w:val="20"/>
        </w:rPr>
        <w:t xml:space="preserve"> En översikt av europeiska studier visar på </w:t>
      </w:r>
      <w:r w:rsidR="00405EA6">
        <w:rPr>
          <w:sz w:val="20"/>
          <w:szCs w:val="20"/>
        </w:rPr>
        <w:t>olika</w:t>
      </w:r>
      <w:r w:rsidRPr="000976C7">
        <w:rPr>
          <w:sz w:val="20"/>
          <w:szCs w:val="20"/>
        </w:rPr>
        <w:t xml:space="preserve"> resultat beroende på utfall, men denna </w:t>
      </w:r>
      <w:r w:rsidR="00F62271">
        <w:rPr>
          <w:sz w:val="20"/>
          <w:szCs w:val="20"/>
        </w:rPr>
        <w:t xml:space="preserve">översiktsstudie </w:t>
      </w:r>
      <w:r w:rsidRPr="000976C7">
        <w:rPr>
          <w:sz w:val="20"/>
          <w:szCs w:val="20"/>
        </w:rPr>
        <w:t xml:space="preserve">blandar metodologiskt </w:t>
      </w:r>
      <w:r w:rsidR="004D1BDD">
        <w:rPr>
          <w:sz w:val="20"/>
          <w:szCs w:val="20"/>
        </w:rPr>
        <w:t xml:space="preserve">väldigt </w:t>
      </w:r>
      <w:r w:rsidRPr="000976C7">
        <w:rPr>
          <w:sz w:val="20"/>
          <w:szCs w:val="20"/>
        </w:rPr>
        <w:t xml:space="preserve">svaga </w:t>
      </w:r>
      <w:r w:rsidR="004D1BDD">
        <w:rPr>
          <w:sz w:val="20"/>
          <w:szCs w:val="20"/>
        </w:rPr>
        <w:t>studier med</w:t>
      </w:r>
      <w:r w:rsidRPr="000976C7">
        <w:rPr>
          <w:sz w:val="20"/>
          <w:szCs w:val="20"/>
        </w:rPr>
        <w:t xml:space="preserve"> starka</w:t>
      </w:r>
      <w:r w:rsidR="004D1BDD">
        <w:rPr>
          <w:sz w:val="20"/>
          <w:szCs w:val="20"/>
        </w:rPr>
        <w:t>re</w:t>
      </w:r>
      <w:r w:rsidRPr="000976C7">
        <w:rPr>
          <w:sz w:val="20"/>
          <w:szCs w:val="20"/>
        </w:rPr>
        <w:t xml:space="preserve"> </w:t>
      </w:r>
      <w:r w:rsidR="004D1BDD">
        <w:rPr>
          <w:sz w:val="20"/>
          <w:szCs w:val="20"/>
        </w:rPr>
        <w:t>forskning</w:t>
      </w:r>
      <w:r w:rsidRPr="000976C7">
        <w:rPr>
          <w:sz w:val="20"/>
          <w:szCs w:val="20"/>
        </w:rPr>
        <w:t>, vilket gör det svårt att dra slutsatser om orsakssamband från den</w:t>
      </w:r>
      <w:r w:rsidR="00203DF3">
        <w:rPr>
          <w:sz w:val="20"/>
          <w:szCs w:val="20"/>
        </w:rPr>
        <w:t xml:space="preserve"> </w:t>
      </w:r>
      <w:r w:rsidRPr="000976C7">
        <w:rPr>
          <w:sz w:val="20"/>
          <w:szCs w:val="20"/>
        </w:rPr>
        <w:t xml:space="preserve">(Kruse </w:t>
      </w:r>
      <w:r w:rsidRPr="000976C7">
        <w:rPr>
          <w:sz w:val="20"/>
          <w:szCs w:val="20"/>
        </w:rPr>
        <w:t xml:space="preserve">m.fl. 2018). </w:t>
      </w:r>
    </w:p>
  </w:footnote>
  <w:footnote w:id="19">
    <w:p w14:paraId="392B04D1" w14:textId="07E386E2" w:rsidR="007E5DD6" w:rsidRPr="00E908B5" w:rsidRDefault="007E5DD6" w:rsidP="007E5DD6">
      <w:pPr>
        <w:pStyle w:val="Fotnotstext"/>
        <w:jc w:val="both"/>
        <w:rPr>
          <w:sz w:val="20"/>
          <w:szCs w:val="20"/>
        </w:rPr>
      </w:pPr>
      <w:r w:rsidRPr="006D12F0">
        <w:rPr>
          <w:rStyle w:val="Fotnotsreferens"/>
          <w:sz w:val="20"/>
          <w:szCs w:val="20"/>
        </w:rPr>
        <w:footnoteRef/>
      </w:r>
      <w:r w:rsidRPr="006D12F0">
        <w:rPr>
          <w:sz w:val="20"/>
          <w:szCs w:val="20"/>
        </w:rPr>
        <w:t xml:space="preserve"> </w:t>
      </w:r>
      <w:r w:rsidR="00A75602" w:rsidRPr="00A75602">
        <w:rPr>
          <w:sz w:val="20"/>
          <w:szCs w:val="20"/>
        </w:rPr>
        <w:t xml:space="preserve">Forskarna </w:t>
      </w:r>
      <w:r w:rsidR="00A75602">
        <w:rPr>
          <w:sz w:val="20"/>
          <w:szCs w:val="20"/>
        </w:rPr>
        <w:t>spekulerar i att</w:t>
      </w:r>
      <w:r w:rsidR="00A75602" w:rsidRPr="00A75602">
        <w:rPr>
          <w:sz w:val="20"/>
          <w:szCs w:val="20"/>
        </w:rPr>
        <w:t xml:space="preserve"> förmågan att effektivisera produktionen </w:t>
      </w:r>
      <w:r w:rsidR="00A75602">
        <w:rPr>
          <w:sz w:val="20"/>
          <w:szCs w:val="20"/>
        </w:rPr>
        <w:t>skulle kunna vara</w:t>
      </w:r>
      <w:r w:rsidR="00A75602" w:rsidRPr="00A75602">
        <w:rPr>
          <w:sz w:val="20"/>
          <w:szCs w:val="20"/>
        </w:rPr>
        <w:t xml:space="preserve"> en delförklaring</w:t>
      </w:r>
      <w:r w:rsidR="00A75602">
        <w:rPr>
          <w:sz w:val="20"/>
          <w:szCs w:val="20"/>
        </w:rPr>
        <w:t xml:space="preserve"> till dessa resultat</w:t>
      </w:r>
      <w:r w:rsidR="00A75602" w:rsidRPr="00A75602">
        <w:rPr>
          <w:sz w:val="20"/>
          <w:szCs w:val="20"/>
        </w:rPr>
        <w:t>, men även att de vinstdrivande sjukhusen saknar akuttjänster, behandlar färre svårt sjuka patienter samt har ett mindre ansvar för utbildning av vårdpersonal</w:t>
      </w:r>
      <w:r w:rsidR="00A75602">
        <w:rPr>
          <w:sz w:val="20"/>
          <w:szCs w:val="20"/>
        </w:rPr>
        <w:t>.</w:t>
      </w:r>
    </w:p>
  </w:footnote>
  <w:footnote w:id="20">
    <w:p w14:paraId="53C4463B" w14:textId="26D5616E" w:rsidR="0020202A" w:rsidRPr="00A75602" w:rsidRDefault="0020202A" w:rsidP="00A75602">
      <w:pPr>
        <w:pStyle w:val="Fotnotstext"/>
        <w:jc w:val="both"/>
        <w:rPr>
          <w:sz w:val="20"/>
          <w:szCs w:val="20"/>
        </w:rPr>
      </w:pPr>
      <w:r w:rsidRPr="00192FDD">
        <w:rPr>
          <w:rStyle w:val="Fotnotsreferens"/>
          <w:sz w:val="20"/>
          <w:szCs w:val="20"/>
        </w:rPr>
        <w:footnoteRef/>
      </w:r>
      <w:r w:rsidRPr="00192FDD">
        <w:rPr>
          <w:sz w:val="20"/>
          <w:szCs w:val="20"/>
        </w:rPr>
        <w:t xml:space="preserve"> </w:t>
      </w:r>
      <w:r w:rsidRPr="0020202A">
        <w:rPr>
          <w:sz w:val="20"/>
          <w:szCs w:val="20"/>
        </w:rPr>
        <w:t xml:space="preserve">Ersättningen till privata vårdgivare </w:t>
      </w:r>
      <w:r>
        <w:rPr>
          <w:sz w:val="20"/>
          <w:szCs w:val="20"/>
        </w:rPr>
        <w:t>sattes oftast lägre än det</w:t>
      </w:r>
      <w:r w:rsidRPr="0020202A">
        <w:rPr>
          <w:sz w:val="20"/>
          <w:szCs w:val="20"/>
        </w:rPr>
        <w:t xml:space="preserve"> lägsta priset </w:t>
      </w:r>
      <w:r>
        <w:rPr>
          <w:sz w:val="20"/>
          <w:szCs w:val="20"/>
        </w:rPr>
        <w:t>bland</w:t>
      </w:r>
      <w:r w:rsidRPr="0020202A">
        <w:rPr>
          <w:sz w:val="20"/>
          <w:szCs w:val="20"/>
        </w:rPr>
        <w:t xml:space="preserve"> sjukhus med kontrakt som upphandlats – och för den vård där man inte hade några priser att gå efter satte man medvetet ersättningen lägre än den som gavs till offentliga sjukhus</w:t>
      </w:r>
      <w:r>
        <w:rPr>
          <w:sz w:val="20"/>
          <w:szCs w:val="20"/>
        </w:rPr>
        <w:t xml:space="preserve"> (Ge </w:t>
      </w:r>
      <w:r>
        <w:rPr>
          <w:sz w:val="20"/>
          <w:szCs w:val="20"/>
        </w:rPr>
        <w:t>m.fl. 2024).</w:t>
      </w:r>
      <w:r w:rsidRPr="0020202A">
        <w:rPr>
          <w:sz w:val="20"/>
          <w:szCs w:val="20"/>
        </w:rPr>
        <w:t xml:space="preserve"> </w:t>
      </w:r>
      <w:r>
        <w:rPr>
          <w:sz w:val="20"/>
          <w:szCs w:val="20"/>
        </w:rPr>
        <w:t xml:space="preserve">Detta skulle också kunna vara en </w:t>
      </w:r>
      <w:r w:rsidRPr="00A75602">
        <w:rPr>
          <w:sz w:val="20"/>
          <w:szCs w:val="20"/>
        </w:rPr>
        <w:t xml:space="preserve">förklaring till varför volymerna inte ökade markant som ett resultat av reformen. Som vi såg i avsnitt 3.1.2 är införandet av vårdval </w:t>
      </w:r>
      <w:r w:rsidRPr="00A75602">
        <w:rPr>
          <w:i/>
          <w:iCs/>
          <w:sz w:val="20"/>
          <w:szCs w:val="20"/>
        </w:rPr>
        <w:t>i sig</w:t>
      </w:r>
      <w:r w:rsidRPr="00A75602">
        <w:rPr>
          <w:sz w:val="20"/>
          <w:szCs w:val="20"/>
        </w:rPr>
        <w:t xml:space="preserve"> inte någon garanti för att vårdvolymerna ska öka; </w:t>
      </w:r>
      <w:r w:rsidR="00F62271" w:rsidRPr="00A75602">
        <w:rPr>
          <w:sz w:val="20"/>
          <w:szCs w:val="20"/>
        </w:rPr>
        <w:t xml:space="preserve">hur vårdvalet utformas </w:t>
      </w:r>
      <w:r w:rsidRPr="00A75602">
        <w:rPr>
          <w:sz w:val="20"/>
          <w:szCs w:val="20"/>
        </w:rPr>
        <w:t>är sannolikt avgörande för effekter</w:t>
      </w:r>
      <w:r w:rsidR="00F62271" w:rsidRPr="00A75602">
        <w:rPr>
          <w:sz w:val="20"/>
          <w:szCs w:val="20"/>
        </w:rPr>
        <w:t>na</w:t>
      </w:r>
      <w:r w:rsidRPr="00A75602">
        <w:rPr>
          <w:sz w:val="20"/>
          <w:szCs w:val="20"/>
        </w:rPr>
        <w:t>.</w:t>
      </w:r>
    </w:p>
  </w:footnote>
  <w:footnote w:id="21">
    <w:p w14:paraId="1093C548" w14:textId="17CE81CB" w:rsidR="00A75602" w:rsidRPr="00AB0BC7" w:rsidRDefault="00A75602" w:rsidP="00A75602">
      <w:pPr>
        <w:pStyle w:val="Fotnotstext"/>
        <w:jc w:val="both"/>
        <w:rPr>
          <w:sz w:val="20"/>
          <w:szCs w:val="20"/>
        </w:rPr>
      </w:pPr>
      <w:r w:rsidRPr="00A75602">
        <w:rPr>
          <w:rStyle w:val="Fotnotsreferens"/>
          <w:sz w:val="20"/>
          <w:szCs w:val="20"/>
        </w:rPr>
        <w:footnoteRef/>
      </w:r>
      <w:r w:rsidRPr="00A75602">
        <w:rPr>
          <w:sz w:val="20"/>
          <w:szCs w:val="20"/>
        </w:rPr>
        <w:t xml:space="preserve"> En annan norsk studie jämför i stället vårdkvaliteten hos offentliga, privata vinstdrivande och privata icke-vinstdrivande sjukhus. Både de vinstdrivande och de icke-vinstdrivande sjukhusen hade betydligt lägre oplanerad återinläggningsfrekvens än de offentliga sjukhusen 30 dagar efter operationerna (</w:t>
      </w:r>
      <w:r w:rsidRPr="00A75602">
        <w:rPr>
          <w:sz w:val="20"/>
          <w:szCs w:val="20"/>
        </w:rPr>
        <w:t>Holom och Hagen 2017). Metoden som används är dock inte tillräckligt stark för att kunna dra slutsatser om orsakssamband.</w:t>
      </w:r>
    </w:p>
  </w:footnote>
  <w:footnote w:id="22">
    <w:p w14:paraId="0A7F3A2B" w14:textId="3D625E59" w:rsidR="00D30FD8" w:rsidRPr="00206838" w:rsidRDefault="00D30FD8" w:rsidP="00A75602">
      <w:pPr>
        <w:pStyle w:val="Fotnotstext"/>
        <w:jc w:val="both"/>
        <w:rPr>
          <w:sz w:val="20"/>
          <w:szCs w:val="20"/>
        </w:rPr>
      </w:pPr>
      <w:r w:rsidRPr="00A75602">
        <w:rPr>
          <w:rStyle w:val="Fotnotsreferens"/>
          <w:sz w:val="20"/>
          <w:szCs w:val="20"/>
        </w:rPr>
        <w:footnoteRef/>
      </w:r>
      <w:r w:rsidRPr="00A75602">
        <w:rPr>
          <w:sz w:val="20"/>
          <w:szCs w:val="20"/>
        </w:rPr>
        <w:t xml:space="preserve"> Reformen ökade </w:t>
      </w:r>
      <w:r w:rsidR="004A2A91">
        <w:rPr>
          <w:sz w:val="20"/>
          <w:szCs w:val="20"/>
        </w:rPr>
        <w:t xml:space="preserve">initialt </w:t>
      </w:r>
      <w:r w:rsidR="00707CF7" w:rsidRPr="00A75602">
        <w:rPr>
          <w:sz w:val="20"/>
          <w:szCs w:val="20"/>
        </w:rPr>
        <w:t>sannolikheten</w:t>
      </w:r>
      <w:r w:rsidRPr="00CA7BA4">
        <w:rPr>
          <w:sz w:val="20"/>
          <w:szCs w:val="20"/>
        </w:rPr>
        <w:t xml:space="preserve"> för återinskrivningar</w:t>
      </w:r>
      <w:r w:rsidR="00C41BFE" w:rsidRPr="00CA7BA4">
        <w:rPr>
          <w:sz w:val="20"/>
          <w:szCs w:val="20"/>
        </w:rPr>
        <w:t>, vilket möjligtvis kan bero på att fler patienter överlevde</w:t>
      </w:r>
      <w:r w:rsidR="003C3B81" w:rsidRPr="00CA7BA4">
        <w:rPr>
          <w:sz w:val="20"/>
          <w:szCs w:val="20"/>
        </w:rPr>
        <w:t>, men efter att DRG-ersättningen som andel av</w:t>
      </w:r>
      <w:r w:rsidR="00707CF7">
        <w:rPr>
          <w:sz w:val="20"/>
          <w:szCs w:val="20"/>
        </w:rPr>
        <w:t xml:space="preserve"> sjukhusens totala finansiering ökade försvann </w:t>
      </w:r>
      <w:r w:rsidR="00707CF7" w:rsidRPr="00206838">
        <w:rPr>
          <w:sz w:val="20"/>
          <w:szCs w:val="20"/>
        </w:rPr>
        <w:t xml:space="preserve">den effekten.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8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C65443"/>
    <w:multiLevelType w:val="hybridMultilevel"/>
    <w:tmpl w:val="1A383894"/>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2" w15:restartNumberingAfterBreak="0">
    <w:nsid w:val="042946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56672C"/>
    <w:multiLevelType w:val="hybridMultilevel"/>
    <w:tmpl w:val="A5228B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2025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784B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F718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6756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1B6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4524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745C54"/>
    <w:multiLevelType w:val="hybridMultilevel"/>
    <w:tmpl w:val="A330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866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A759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CA71B2"/>
    <w:multiLevelType w:val="hybridMultilevel"/>
    <w:tmpl w:val="2A7883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F056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BE13B9"/>
    <w:multiLevelType w:val="hybridMultilevel"/>
    <w:tmpl w:val="9252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804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8F04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813640"/>
    <w:multiLevelType w:val="hybridMultilevel"/>
    <w:tmpl w:val="D868B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CC11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884046"/>
    <w:multiLevelType w:val="hybridMultilevel"/>
    <w:tmpl w:val="12A80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50461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EA7D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574C2D"/>
    <w:multiLevelType w:val="hybridMultilevel"/>
    <w:tmpl w:val="41A26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6026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9557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824E23"/>
    <w:multiLevelType w:val="hybridMultilevel"/>
    <w:tmpl w:val="DA14D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B62A4"/>
    <w:multiLevelType w:val="hybridMultilevel"/>
    <w:tmpl w:val="FDC05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A629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5909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0809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D53F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614A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8522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F55C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DC83634"/>
    <w:multiLevelType w:val="hybridMultilevel"/>
    <w:tmpl w:val="48988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A00954"/>
    <w:multiLevelType w:val="hybridMultilevel"/>
    <w:tmpl w:val="08FC2C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A407D9"/>
    <w:multiLevelType w:val="hybridMultilevel"/>
    <w:tmpl w:val="A54CD8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67970577">
    <w:abstractNumId w:val="36"/>
  </w:num>
  <w:num w:numId="2" w16cid:durableId="461122320">
    <w:abstractNumId w:val="12"/>
  </w:num>
  <w:num w:numId="3" w16cid:durableId="891814108">
    <w:abstractNumId w:val="22"/>
  </w:num>
  <w:num w:numId="4" w16cid:durableId="616714862">
    <w:abstractNumId w:val="26"/>
  </w:num>
  <w:num w:numId="5" w16cid:durableId="1342782122">
    <w:abstractNumId w:val="32"/>
  </w:num>
  <w:num w:numId="6" w16cid:durableId="410126403">
    <w:abstractNumId w:val="8"/>
  </w:num>
  <w:num w:numId="7" w16cid:durableId="1902673463">
    <w:abstractNumId w:val="18"/>
  </w:num>
  <w:num w:numId="8" w16cid:durableId="559948286">
    <w:abstractNumId w:val="14"/>
  </w:num>
  <w:num w:numId="9" w16cid:durableId="508524597">
    <w:abstractNumId w:val="35"/>
  </w:num>
  <w:num w:numId="10" w16cid:durableId="453134257">
    <w:abstractNumId w:val="31"/>
  </w:num>
  <w:num w:numId="11" w16cid:durableId="129251219">
    <w:abstractNumId w:val="9"/>
  </w:num>
  <w:num w:numId="12" w16cid:durableId="1085419663">
    <w:abstractNumId w:val="21"/>
  </w:num>
  <w:num w:numId="13" w16cid:durableId="157549603">
    <w:abstractNumId w:val="6"/>
  </w:num>
  <w:num w:numId="14" w16cid:durableId="1661302268">
    <w:abstractNumId w:val="30"/>
  </w:num>
  <w:num w:numId="15" w16cid:durableId="1656226074">
    <w:abstractNumId w:val="11"/>
  </w:num>
  <w:num w:numId="16" w16cid:durableId="522211022">
    <w:abstractNumId w:val="3"/>
  </w:num>
  <w:num w:numId="17" w16cid:durableId="1358654902">
    <w:abstractNumId w:val="4"/>
  </w:num>
  <w:num w:numId="18" w16cid:durableId="1610359852">
    <w:abstractNumId w:val="29"/>
  </w:num>
  <w:num w:numId="19" w16cid:durableId="782841570">
    <w:abstractNumId w:val="25"/>
  </w:num>
  <w:num w:numId="20" w16cid:durableId="1910074378">
    <w:abstractNumId w:val="17"/>
  </w:num>
  <w:num w:numId="21" w16cid:durableId="1871995586">
    <w:abstractNumId w:val="19"/>
  </w:num>
  <w:num w:numId="22" w16cid:durableId="2105757792">
    <w:abstractNumId w:val="15"/>
  </w:num>
  <w:num w:numId="23" w16cid:durableId="1081178187">
    <w:abstractNumId w:val="34"/>
  </w:num>
  <w:num w:numId="24" w16cid:durableId="1323386300">
    <w:abstractNumId w:val="2"/>
  </w:num>
  <w:num w:numId="25" w16cid:durableId="64182937">
    <w:abstractNumId w:val="7"/>
  </w:num>
  <w:num w:numId="26" w16cid:durableId="1251546286">
    <w:abstractNumId w:val="1"/>
  </w:num>
  <w:num w:numId="27" w16cid:durableId="1513640292">
    <w:abstractNumId w:val="20"/>
  </w:num>
  <w:num w:numId="28" w16cid:durableId="425230224">
    <w:abstractNumId w:val="37"/>
  </w:num>
  <w:num w:numId="29" w16cid:durableId="389690051">
    <w:abstractNumId w:val="10"/>
  </w:num>
  <w:num w:numId="30" w16cid:durableId="601886910">
    <w:abstractNumId w:val="33"/>
  </w:num>
  <w:num w:numId="31" w16cid:durableId="1063405401">
    <w:abstractNumId w:val="0"/>
  </w:num>
  <w:num w:numId="32" w16cid:durableId="1339844796">
    <w:abstractNumId w:val="5"/>
  </w:num>
  <w:num w:numId="33" w16cid:durableId="659843597">
    <w:abstractNumId w:val="24"/>
  </w:num>
  <w:num w:numId="34" w16cid:durableId="486289543">
    <w:abstractNumId w:val="16"/>
  </w:num>
  <w:num w:numId="35" w16cid:durableId="1668824623">
    <w:abstractNumId w:val="28"/>
  </w:num>
  <w:num w:numId="36" w16cid:durableId="652686277">
    <w:abstractNumId w:val="27"/>
  </w:num>
  <w:num w:numId="37" w16cid:durableId="728305119">
    <w:abstractNumId w:val="23"/>
  </w:num>
  <w:num w:numId="38" w16cid:durableId="1936647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AC"/>
    <w:rsid w:val="00000173"/>
    <w:rsid w:val="0000030B"/>
    <w:rsid w:val="0000032A"/>
    <w:rsid w:val="00000B70"/>
    <w:rsid w:val="00000D32"/>
    <w:rsid w:val="00000DD4"/>
    <w:rsid w:val="00001828"/>
    <w:rsid w:val="00001D05"/>
    <w:rsid w:val="00001F11"/>
    <w:rsid w:val="000021E3"/>
    <w:rsid w:val="00002A0C"/>
    <w:rsid w:val="00002E23"/>
    <w:rsid w:val="00002FE7"/>
    <w:rsid w:val="000037E2"/>
    <w:rsid w:val="00003884"/>
    <w:rsid w:val="000043CB"/>
    <w:rsid w:val="00006CE0"/>
    <w:rsid w:val="00006FC3"/>
    <w:rsid w:val="0000765A"/>
    <w:rsid w:val="00007E9E"/>
    <w:rsid w:val="00007EF3"/>
    <w:rsid w:val="00010464"/>
    <w:rsid w:val="000118A1"/>
    <w:rsid w:val="0001190E"/>
    <w:rsid w:val="00011C84"/>
    <w:rsid w:val="00011E3E"/>
    <w:rsid w:val="00011EFA"/>
    <w:rsid w:val="00012593"/>
    <w:rsid w:val="0001295D"/>
    <w:rsid w:val="0001366C"/>
    <w:rsid w:val="00014253"/>
    <w:rsid w:val="00014272"/>
    <w:rsid w:val="00014683"/>
    <w:rsid w:val="00014B9F"/>
    <w:rsid w:val="0001531E"/>
    <w:rsid w:val="00015CF9"/>
    <w:rsid w:val="00016200"/>
    <w:rsid w:val="00016987"/>
    <w:rsid w:val="0001698A"/>
    <w:rsid w:val="00017B6D"/>
    <w:rsid w:val="0002029B"/>
    <w:rsid w:val="0002035A"/>
    <w:rsid w:val="000206BD"/>
    <w:rsid w:val="00020E00"/>
    <w:rsid w:val="000211BA"/>
    <w:rsid w:val="000213AA"/>
    <w:rsid w:val="0002175C"/>
    <w:rsid w:val="00021ACE"/>
    <w:rsid w:val="00022085"/>
    <w:rsid w:val="00022269"/>
    <w:rsid w:val="00022CA2"/>
    <w:rsid w:val="000230CE"/>
    <w:rsid w:val="00023510"/>
    <w:rsid w:val="00023D34"/>
    <w:rsid w:val="000252E7"/>
    <w:rsid w:val="00025914"/>
    <w:rsid w:val="00025CDC"/>
    <w:rsid w:val="00025EEF"/>
    <w:rsid w:val="000265C1"/>
    <w:rsid w:val="000266E2"/>
    <w:rsid w:val="000277BC"/>
    <w:rsid w:val="0003073A"/>
    <w:rsid w:val="00030A20"/>
    <w:rsid w:val="00030BC8"/>
    <w:rsid w:val="000312B8"/>
    <w:rsid w:val="000329E6"/>
    <w:rsid w:val="00032B02"/>
    <w:rsid w:val="0003311A"/>
    <w:rsid w:val="0003316C"/>
    <w:rsid w:val="00033431"/>
    <w:rsid w:val="00033639"/>
    <w:rsid w:val="0003373B"/>
    <w:rsid w:val="000338A4"/>
    <w:rsid w:val="00033B16"/>
    <w:rsid w:val="00033B8F"/>
    <w:rsid w:val="00034055"/>
    <w:rsid w:val="000345AF"/>
    <w:rsid w:val="0003506C"/>
    <w:rsid w:val="00035316"/>
    <w:rsid w:val="000359B7"/>
    <w:rsid w:val="00035FFF"/>
    <w:rsid w:val="0003601E"/>
    <w:rsid w:val="0003639E"/>
    <w:rsid w:val="000365E1"/>
    <w:rsid w:val="000365F7"/>
    <w:rsid w:val="000369DC"/>
    <w:rsid w:val="00036A0E"/>
    <w:rsid w:val="00036DD7"/>
    <w:rsid w:val="00036FBF"/>
    <w:rsid w:val="00037386"/>
    <w:rsid w:val="00037507"/>
    <w:rsid w:val="00037D5D"/>
    <w:rsid w:val="0004006C"/>
    <w:rsid w:val="00040218"/>
    <w:rsid w:val="00040931"/>
    <w:rsid w:val="00041067"/>
    <w:rsid w:val="00041799"/>
    <w:rsid w:val="00041871"/>
    <w:rsid w:val="00041A48"/>
    <w:rsid w:val="00041A9D"/>
    <w:rsid w:val="00042214"/>
    <w:rsid w:val="0004333B"/>
    <w:rsid w:val="00043388"/>
    <w:rsid w:val="00043766"/>
    <w:rsid w:val="00043B77"/>
    <w:rsid w:val="0004479A"/>
    <w:rsid w:val="00045AE5"/>
    <w:rsid w:val="000463B2"/>
    <w:rsid w:val="00046564"/>
    <w:rsid w:val="000472D8"/>
    <w:rsid w:val="000477A4"/>
    <w:rsid w:val="00047F52"/>
    <w:rsid w:val="000504D5"/>
    <w:rsid w:val="000508EF"/>
    <w:rsid w:val="00050A3D"/>
    <w:rsid w:val="00051115"/>
    <w:rsid w:val="0005137E"/>
    <w:rsid w:val="00051649"/>
    <w:rsid w:val="000516BD"/>
    <w:rsid w:val="0005171D"/>
    <w:rsid w:val="00051B60"/>
    <w:rsid w:val="00051C87"/>
    <w:rsid w:val="00053116"/>
    <w:rsid w:val="0005359E"/>
    <w:rsid w:val="00055217"/>
    <w:rsid w:val="00055649"/>
    <w:rsid w:val="00056A5A"/>
    <w:rsid w:val="0005784A"/>
    <w:rsid w:val="000608A7"/>
    <w:rsid w:val="00060A32"/>
    <w:rsid w:val="00061187"/>
    <w:rsid w:val="0006146B"/>
    <w:rsid w:val="000615A9"/>
    <w:rsid w:val="00061F3C"/>
    <w:rsid w:val="00062401"/>
    <w:rsid w:val="0006283C"/>
    <w:rsid w:val="00062AC3"/>
    <w:rsid w:val="00062C1D"/>
    <w:rsid w:val="00062C50"/>
    <w:rsid w:val="00063393"/>
    <w:rsid w:val="000635F6"/>
    <w:rsid w:val="000637C0"/>
    <w:rsid w:val="00063ACF"/>
    <w:rsid w:val="00063ED7"/>
    <w:rsid w:val="00064C96"/>
    <w:rsid w:val="00065411"/>
    <w:rsid w:val="0006594E"/>
    <w:rsid w:val="000665C7"/>
    <w:rsid w:val="000665DC"/>
    <w:rsid w:val="0006661B"/>
    <w:rsid w:val="00066D14"/>
    <w:rsid w:val="00066F36"/>
    <w:rsid w:val="00067129"/>
    <w:rsid w:val="00067385"/>
    <w:rsid w:val="000673D8"/>
    <w:rsid w:val="00067425"/>
    <w:rsid w:val="00067791"/>
    <w:rsid w:val="0006787C"/>
    <w:rsid w:val="00067D4E"/>
    <w:rsid w:val="00067E00"/>
    <w:rsid w:val="0007072F"/>
    <w:rsid w:val="00071924"/>
    <w:rsid w:val="00072DBB"/>
    <w:rsid w:val="0007360D"/>
    <w:rsid w:val="000738AA"/>
    <w:rsid w:val="000738C1"/>
    <w:rsid w:val="000738CE"/>
    <w:rsid w:val="0007398D"/>
    <w:rsid w:val="000744F8"/>
    <w:rsid w:val="000747FD"/>
    <w:rsid w:val="00074B2C"/>
    <w:rsid w:val="00074F97"/>
    <w:rsid w:val="00074FA6"/>
    <w:rsid w:val="00075E42"/>
    <w:rsid w:val="00075F14"/>
    <w:rsid w:val="0007607F"/>
    <w:rsid w:val="000762CD"/>
    <w:rsid w:val="000763FE"/>
    <w:rsid w:val="0007669B"/>
    <w:rsid w:val="00076C02"/>
    <w:rsid w:val="00076DEA"/>
    <w:rsid w:val="00076F13"/>
    <w:rsid w:val="00077AB9"/>
    <w:rsid w:val="00077ED6"/>
    <w:rsid w:val="00081DA7"/>
    <w:rsid w:val="00082260"/>
    <w:rsid w:val="00082B4E"/>
    <w:rsid w:val="000830CC"/>
    <w:rsid w:val="00083312"/>
    <w:rsid w:val="0008371C"/>
    <w:rsid w:val="000861DB"/>
    <w:rsid w:val="0008662C"/>
    <w:rsid w:val="00086655"/>
    <w:rsid w:val="000869D9"/>
    <w:rsid w:val="000872FE"/>
    <w:rsid w:val="00087A8A"/>
    <w:rsid w:val="00087C31"/>
    <w:rsid w:val="00090831"/>
    <w:rsid w:val="00090D17"/>
    <w:rsid w:val="000914B2"/>
    <w:rsid w:val="000916A8"/>
    <w:rsid w:val="00091ACE"/>
    <w:rsid w:val="00091BEE"/>
    <w:rsid w:val="00091D66"/>
    <w:rsid w:val="00091E06"/>
    <w:rsid w:val="00092343"/>
    <w:rsid w:val="000926AF"/>
    <w:rsid w:val="000927D0"/>
    <w:rsid w:val="000927E6"/>
    <w:rsid w:val="0009424A"/>
    <w:rsid w:val="000948DE"/>
    <w:rsid w:val="000949A3"/>
    <w:rsid w:val="00094FF5"/>
    <w:rsid w:val="00095994"/>
    <w:rsid w:val="00095FB7"/>
    <w:rsid w:val="0009669B"/>
    <w:rsid w:val="00096740"/>
    <w:rsid w:val="000976C7"/>
    <w:rsid w:val="00097817"/>
    <w:rsid w:val="00097BA4"/>
    <w:rsid w:val="00097D28"/>
    <w:rsid w:val="000A042C"/>
    <w:rsid w:val="000A0565"/>
    <w:rsid w:val="000A103F"/>
    <w:rsid w:val="000A123A"/>
    <w:rsid w:val="000A2DC5"/>
    <w:rsid w:val="000A31B5"/>
    <w:rsid w:val="000A3568"/>
    <w:rsid w:val="000A37E3"/>
    <w:rsid w:val="000A45F6"/>
    <w:rsid w:val="000A4789"/>
    <w:rsid w:val="000A4833"/>
    <w:rsid w:val="000A4CC9"/>
    <w:rsid w:val="000A585F"/>
    <w:rsid w:val="000A5B73"/>
    <w:rsid w:val="000A5DD5"/>
    <w:rsid w:val="000A605B"/>
    <w:rsid w:val="000A699A"/>
    <w:rsid w:val="000A7133"/>
    <w:rsid w:val="000A74F7"/>
    <w:rsid w:val="000B0AF4"/>
    <w:rsid w:val="000B1385"/>
    <w:rsid w:val="000B1701"/>
    <w:rsid w:val="000B1A00"/>
    <w:rsid w:val="000B1B5D"/>
    <w:rsid w:val="000B1C4C"/>
    <w:rsid w:val="000B1E07"/>
    <w:rsid w:val="000B21D6"/>
    <w:rsid w:val="000B2DF2"/>
    <w:rsid w:val="000B3557"/>
    <w:rsid w:val="000B393D"/>
    <w:rsid w:val="000B3D7D"/>
    <w:rsid w:val="000B43F6"/>
    <w:rsid w:val="000B4AB9"/>
    <w:rsid w:val="000B4FFE"/>
    <w:rsid w:val="000B531C"/>
    <w:rsid w:val="000B5497"/>
    <w:rsid w:val="000B56F4"/>
    <w:rsid w:val="000B5963"/>
    <w:rsid w:val="000B5FFC"/>
    <w:rsid w:val="000B61DB"/>
    <w:rsid w:val="000B61DF"/>
    <w:rsid w:val="000B640C"/>
    <w:rsid w:val="000B69B2"/>
    <w:rsid w:val="000B702E"/>
    <w:rsid w:val="000B7049"/>
    <w:rsid w:val="000B71AF"/>
    <w:rsid w:val="000B73B4"/>
    <w:rsid w:val="000B76BD"/>
    <w:rsid w:val="000C0564"/>
    <w:rsid w:val="000C0B9A"/>
    <w:rsid w:val="000C0D09"/>
    <w:rsid w:val="000C0DA3"/>
    <w:rsid w:val="000C1025"/>
    <w:rsid w:val="000C19D2"/>
    <w:rsid w:val="000C2599"/>
    <w:rsid w:val="000C3198"/>
    <w:rsid w:val="000C34BA"/>
    <w:rsid w:val="000C3C0E"/>
    <w:rsid w:val="000C3EB3"/>
    <w:rsid w:val="000C46D7"/>
    <w:rsid w:val="000C49D6"/>
    <w:rsid w:val="000C4CDD"/>
    <w:rsid w:val="000C4F75"/>
    <w:rsid w:val="000C580E"/>
    <w:rsid w:val="000C588E"/>
    <w:rsid w:val="000C5965"/>
    <w:rsid w:val="000C5DD8"/>
    <w:rsid w:val="000C606A"/>
    <w:rsid w:val="000C6126"/>
    <w:rsid w:val="000C6188"/>
    <w:rsid w:val="000C7589"/>
    <w:rsid w:val="000C7FE2"/>
    <w:rsid w:val="000D0046"/>
    <w:rsid w:val="000D03A0"/>
    <w:rsid w:val="000D0647"/>
    <w:rsid w:val="000D223C"/>
    <w:rsid w:val="000D225F"/>
    <w:rsid w:val="000D2616"/>
    <w:rsid w:val="000D36CB"/>
    <w:rsid w:val="000D37EF"/>
    <w:rsid w:val="000D4013"/>
    <w:rsid w:val="000D495E"/>
    <w:rsid w:val="000D4CCD"/>
    <w:rsid w:val="000D59A5"/>
    <w:rsid w:val="000D6130"/>
    <w:rsid w:val="000D78F7"/>
    <w:rsid w:val="000D7B0E"/>
    <w:rsid w:val="000E019E"/>
    <w:rsid w:val="000E0664"/>
    <w:rsid w:val="000E0A96"/>
    <w:rsid w:val="000E0EAE"/>
    <w:rsid w:val="000E123F"/>
    <w:rsid w:val="000E12C7"/>
    <w:rsid w:val="000E1E55"/>
    <w:rsid w:val="000E2A7C"/>
    <w:rsid w:val="000E2C58"/>
    <w:rsid w:val="000E3497"/>
    <w:rsid w:val="000E3DF8"/>
    <w:rsid w:val="000E45C8"/>
    <w:rsid w:val="000E46D9"/>
    <w:rsid w:val="000E4E7B"/>
    <w:rsid w:val="000E53E1"/>
    <w:rsid w:val="000E56A2"/>
    <w:rsid w:val="000E5839"/>
    <w:rsid w:val="000E59C9"/>
    <w:rsid w:val="000E6252"/>
    <w:rsid w:val="000E6265"/>
    <w:rsid w:val="000E6BBA"/>
    <w:rsid w:val="000E75CC"/>
    <w:rsid w:val="000F0067"/>
    <w:rsid w:val="000F012B"/>
    <w:rsid w:val="000F03EF"/>
    <w:rsid w:val="000F0945"/>
    <w:rsid w:val="000F0A16"/>
    <w:rsid w:val="000F0B89"/>
    <w:rsid w:val="000F0C2D"/>
    <w:rsid w:val="000F141A"/>
    <w:rsid w:val="000F1687"/>
    <w:rsid w:val="000F2455"/>
    <w:rsid w:val="000F2914"/>
    <w:rsid w:val="000F2F96"/>
    <w:rsid w:val="000F33FE"/>
    <w:rsid w:val="000F376F"/>
    <w:rsid w:val="000F43D5"/>
    <w:rsid w:val="000F4E7C"/>
    <w:rsid w:val="000F4F8D"/>
    <w:rsid w:val="000F510E"/>
    <w:rsid w:val="000F575B"/>
    <w:rsid w:val="000F5DE9"/>
    <w:rsid w:val="000F5F56"/>
    <w:rsid w:val="000F60BE"/>
    <w:rsid w:val="000F628D"/>
    <w:rsid w:val="000F6798"/>
    <w:rsid w:val="000F6A8F"/>
    <w:rsid w:val="000F7346"/>
    <w:rsid w:val="000F7349"/>
    <w:rsid w:val="000F770F"/>
    <w:rsid w:val="000F7812"/>
    <w:rsid w:val="000F7C7F"/>
    <w:rsid w:val="000F7DE6"/>
    <w:rsid w:val="000F7F7E"/>
    <w:rsid w:val="001002DF"/>
    <w:rsid w:val="00100383"/>
    <w:rsid w:val="00101346"/>
    <w:rsid w:val="001013AC"/>
    <w:rsid w:val="001015AF"/>
    <w:rsid w:val="00101FB6"/>
    <w:rsid w:val="001020A3"/>
    <w:rsid w:val="001022BC"/>
    <w:rsid w:val="001027DD"/>
    <w:rsid w:val="00103197"/>
    <w:rsid w:val="00103CB6"/>
    <w:rsid w:val="00104376"/>
    <w:rsid w:val="00104588"/>
    <w:rsid w:val="00104595"/>
    <w:rsid w:val="00104F99"/>
    <w:rsid w:val="00105364"/>
    <w:rsid w:val="00105390"/>
    <w:rsid w:val="00105829"/>
    <w:rsid w:val="00106212"/>
    <w:rsid w:val="0010624E"/>
    <w:rsid w:val="001062B6"/>
    <w:rsid w:val="00106A57"/>
    <w:rsid w:val="00106AA9"/>
    <w:rsid w:val="001074F2"/>
    <w:rsid w:val="00107BAE"/>
    <w:rsid w:val="0011099B"/>
    <w:rsid w:val="00110B30"/>
    <w:rsid w:val="0011130F"/>
    <w:rsid w:val="00111A52"/>
    <w:rsid w:val="00111B9C"/>
    <w:rsid w:val="00111FB7"/>
    <w:rsid w:val="00111FBF"/>
    <w:rsid w:val="00112A20"/>
    <w:rsid w:val="00113258"/>
    <w:rsid w:val="001136BA"/>
    <w:rsid w:val="001136FF"/>
    <w:rsid w:val="00113E68"/>
    <w:rsid w:val="00113F1B"/>
    <w:rsid w:val="001145FE"/>
    <w:rsid w:val="00115491"/>
    <w:rsid w:val="00115E2C"/>
    <w:rsid w:val="00115F77"/>
    <w:rsid w:val="00116270"/>
    <w:rsid w:val="001167D6"/>
    <w:rsid w:val="001168A7"/>
    <w:rsid w:val="00116D5C"/>
    <w:rsid w:val="0011745E"/>
    <w:rsid w:val="00117582"/>
    <w:rsid w:val="001208AA"/>
    <w:rsid w:val="00121240"/>
    <w:rsid w:val="001217EF"/>
    <w:rsid w:val="00122235"/>
    <w:rsid w:val="00122382"/>
    <w:rsid w:val="00122B3F"/>
    <w:rsid w:val="00122C6F"/>
    <w:rsid w:val="00122F39"/>
    <w:rsid w:val="001234BD"/>
    <w:rsid w:val="001247B1"/>
    <w:rsid w:val="001247D2"/>
    <w:rsid w:val="00124AF9"/>
    <w:rsid w:val="001253CB"/>
    <w:rsid w:val="00125B9C"/>
    <w:rsid w:val="00126852"/>
    <w:rsid w:val="00126AAF"/>
    <w:rsid w:val="00126BD1"/>
    <w:rsid w:val="00127CB7"/>
    <w:rsid w:val="00127CCE"/>
    <w:rsid w:val="001303AC"/>
    <w:rsid w:val="001308FB"/>
    <w:rsid w:val="00131740"/>
    <w:rsid w:val="00131D98"/>
    <w:rsid w:val="00131DB8"/>
    <w:rsid w:val="00131EEC"/>
    <w:rsid w:val="00131F22"/>
    <w:rsid w:val="00132308"/>
    <w:rsid w:val="00132656"/>
    <w:rsid w:val="00133038"/>
    <w:rsid w:val="0013318F"/>
    <w:rsid w:val="0013322A"/>
    <w:rsid w:val="00133528"/>
    <w:rsid w:val="001336A2"/>
    <w:rsid w:val="00133D5C"/>
    <w:rsid w:val="00133E85"/>
    <w:rsid w:val="00134395"/>
    <w:rsid w:val="001346DF"/>
    <w:rsid w:val="00134C6C"/>
    <w:rsid w:val="00134E40"/>
    <w:rsid w:val="001359B6"/>
    <w:rsid w:val="00135E55"/>
    <w:rsid w:val="0013682A"/>
    <w:rsid w:val="001375A6"/>
    <w:rsid w:val="00137657"/>
    <w:rsid w:val="00137944"/>
    <w:rsid w:val="00137A18"/>
    <w:rsid w:val="00137B79"/>
    <w:rsid w:val="00140434"/>
    <w:rsid w:val="00140457"/>
    <w:rsid w:val="00140728"/>
    <w:rsid w:val="0014084B"/>
    <w:rsid w:val="00140B0F"/>
    <w:rsid w:val="001411F1"/>
    <w:rsid w:val="001413A8"/>
    <w:rsid w:val="00141543"/>
    <w:rsid w:val="00141C77"/>
    <w:rsid w:val="00142323"/>
    <w:rsid w:val="00142B45"/>
    <w:rsid w:val="00142CC2"/>
    <w:rsid w:val="00143113"/>
    <w:rsid w:val="00144E6A"/>
    <w:rsid w:val="00144EE5"/>
    <w:rsid w:val="00145081"/>
    <w:rsid w:val="00145092"/>
    <w:rsid w:val="001452BA"/>
    <w:rsid w:val="001460E9"/>
    <w:rsid w:val="0014648C"/>
    <w:rsid w:val="00146960"/>
    <w:rsid w:val="00146AB5"/>
    <w:rsid w:val="00147401"/>
    <w:rsid w:val="00147D82"/>
    <w:rsid w:val="00147E1B"/>
    <w:rsid w:val="001502A2"/>
    <w:rsid w:val="001506C6"/>
    <w:rsid w:val="00150ED6"/>
    <w:rsid w:val="00151BAB"/>
    <w:rsid w:val="00151ED4"/>
    <w:rsid w:val="00152444"/>
    <w:rsid w:val="001525B4"/>
    <w:rsid w:val="00152E3D"/>
    <w:rsid w:val="00152ED1"/>
    <w:rsid w:val="001535E3"/>
    <w:rsid w:val="00153D93"/>
    <w:rsid w:val="00153F45"/>
    <w:rsid w:val="001544C6"/>
    <w:rsid w:val="00154610"/>
    <w:rsid w:val="0015469F"/>
    <w:rsid w:val="00154716"/>
    <w:rsid w:val="001556D7"/>
    <w:rsid w:val="00155AC3"/>
    <w:rsid w:val="00155AFE"/>
    <w:rsid w:val="001579BD"/>
    <w:rsid w:val="00160260"/>
    <w:rsid w:val="001602A9"/>
    <w:rsid w:val="001606E6"/>
    <w:rsid w:val="00161089"/>
    <w:rsid w:val="001611A3"/>
    <w:rsid w:val="00161F6E"/>
    <w:rsid w:val="0016215D"/>
    <w:rsid w:val="001623FD"/>
    <w:rsid w:val="001631DF"/>
    <w:rsid w:val="00163580"/>
    <w:rsid w:val="001636B1"/>
    <w:rsid w:val="00163C7D"/>
    <w:rsid w:val="00164756"/>
    <w:rsid w:val="00164F8B"/>
    <w:rsid w:val="00165248"/>
    <w:rsid w:val="001652E8"/>
    <w:rsid w:val="00165814"/>
    <w:rsid w:val="00165DCB"/>
    <w:rsid w:val="001661F2"/>
    <w:rsid w:val="001665CC"/>
    <w:rsid w:val="001670ED"/>
    <w:rsid w:val="00170216"/>
    <w:rsid w:val="00170AB4"/>
    <w:rsid w:val="001724C2"/>
    <w:rsid w:val="0017334A"/>
    <w:rsid w:val="00173474"/>
    <w:rsid w:val="00173AF3"/>
    <w:rsid w:val="0017425F"/>
    <w:rsid w:val="00175145"/>
    <w:rsid w:val="001751C0"/>
    <w:rsid w:val="001753A1"/>
    <w:rsid w:val="001755ED"/>
    <w:rsid w:val="001756E0"/>
    <w:rsid w:val="00175C58"/>
    <w:rsid w:val="00176389"/>
    <w:rsid w:val="00176885"/>
    <w:rsid w:val="00176968"/>
    <w:rsid w:val="00176AC7"/>
    <w:rsid w:val="00176AE3"/>
    <w:rsid w:val="00176E6D"/>
    <w:rsid w:val="00176E70"/>
    <w:rsid w:val="00176FF1"/>
    <w:rsid w:val="00177811"/>
    <w:rsid w:val="00180178"/>
    <w:rsid w:val="00180A50"/>
    <w:rsid w:val="00180BF7"/>
    <w:rsid w:val="00180CA7"/>
    <w:rsid w:val="00180D8D"/>
    <w:rsid w:val="00180F06"/>
    <w:rsid w:val="00180FF6"/>
    <w:rsid w:val="00181E92"/>
    <w:rsid w:val="00182CED"/>
    <w:rsid w:val="0018348A"/>
    <w:rsid w:val="001834E6"/>
    <w:rsid w:val="0018356B"/>
    <w:rsid w:val="00184CA0"/>
    <w:rsid w:val="0018550D"/>
    <w:rsid w:val="001856EE"/>
    <w:rsid w:val="00186362"/>
    <w:rsid w:val="00186C32"/>
    <w:rsid w:val="00186CC7"/>
    <w:rsid w:val="00186E9C"/>
    <w:rsid w:val="0018725F"/>
    <w:rsid w:val="001874B4"/>
    <w:rsid w:val="001876CC"/>
    <w:rsid w:val="00187BA4"/>
    <w:rsid w:val="00190EEE"/>
    <w:rsid w:val="0019123D"/>
    <w:rsid w:val="00192FDD"/>
    <w:rsid w:val="001934D2"/>
    <w:rsid w:val="00194EF2"/>
    <w:rsid w:val="00195610"/>
    <w:rsid w:val="001957F2"/>
    <w:rsid w:val="0019626A"/>
    <w:rsid w:val="001963B4"/>
    <w:rsid w:val="00196552"/>
    <w:rsid w:val="00196738"/>
    <w:rsid w:val="00197092"/>
    <w:rsid w:val="001973BB"/>
    <w:rsid w:val="00197805"/>
    <w:rsid w:val="00197D6D"/>
    <w:rsid w:val="001A01BC"/>
    <w:rsid w:val="001A04AB"/>
    <w:rsid w:val="001A0649"/>
    <w:rsid w:val="001A0F44"/>
    <w:rsid w:val="001A1586"/>
    <w:rsid w:val="001A1DD4"/>
    <w:rsid w:val="001A2224"/>
    <w:rsid w:val="001A2A24"/>
    <w:rsid w:val="001A2D68"/>
    <w:rsid w:val="001A2D8B"/>
    <w:rsid w:val="001A37EC"/>
    <w:rsid w:val="001A3D02"/>
    <w:rsid w:val="001A3ED4"/>
    <w:rsid w:val="001A409E"/>
    <w:rsid w:val="001A4489"/>
    <w:rsid w:val="001A48D0"/>
    <w:rsid w:val="001A4D76"/>
    <w:rsid w:val="001A59AB"/>
    <w:rsid w:val="001A5A4B"/>
    <w:rsid w:val="001A5ABC"/>
    <w:rsid w:val="001A5ACC"/>
    <w:rsid w:val="001A5B18"/>
    <w:rsid w:val="001A6237"/>
    <w:rsid w:val="001A6275"/>
    <w:rsid w:val="001A71C4"/>
    <w:rsid w:val="001A7445"/>
    <w:rsid w:val="001A7817"/>
    <w:rsid w:val="001A7B91"/>
    <w:rsid w:val="001B00AD"/>
    <w:rsid w:val="001B07E4"/>
    <w:rsid w:val="001B0F7C"/>
    <w:rsid w:val="001B11DD"/>
    <w:rsid w:val="001B128C"/>
    <w:rsid w:val="001B12DA"/>
    <w:rsid w:val="001B1802"/>
    <w:rsid w:val="001B1804"/>
    <w:rsid w:val="001B18BF"/>
    <w:rsid w:val="001B267A"/>
    <w:rsid w:val="001B269A"/>
    <w:rsid w:val="001B26F5"/>
    <w:rsid w:val="001B2BEE"/>
    <w:rsid w:val="001B309C"/>
    <w:rsid w:val="001B340C"/>
    <w:rsid w:val="001B3911"/>
    <w:rsid w:val="001B39AC"/>
    <w:rsid w:val="001B4291"/>
    <w:rsid w:val="001B495A"/>
    <w:rsid w:val="001B4A32"/>
    <w:rsid w:val="001B4A4A"/>
    <w:rsid w:val="001B4C8F"/>
    <w:rsid w:val="001B5565"/>
    <w:rsid w:val="001B5A6D"/>
    <w:rsid w:val="001B6029"/>
    <w:rsid w:val="001B63BF"/>
    <w:rsid w:val="001B71C9"/>
    <w:rsid w:val="001B7747"/>
    <w:rsid w:val="001C0833"/>
    <w:rsid w:val="001C0A36"/>
    <w:rsid w:val="001C0DC9"/>
    <w:rsid w:val="001C11B0"/>
    <w:rsid w:val="001C15DB"/>
    <w:rsid w:val="001C1B73"/>
    <w:rsid w:val="001C1BC0"/>
    <w:rsid w:val="001C1DE5"/>
    <w:rsid w:val="001C1E49"/>
    <w:rsid w:val="001C2D90"/>
    <w:rsid w:val="001C3909"/>
    <w:rsid w:val="001C39D6"/>
    <w:rsid w:val="001C3FAF"/>
    <w:rsid w:val="001C3FE6"/>
    <w:rsid w:val="001C4CB3"/>
    <w:rsid w:val="001C4EC9"/>
    <w:rsid w:val="001C523D"/>
    <w:rsid w:val="001C554E"/>
    <w:rsid w:val="001C5F4E"/>
    <w:rsid w:val="001C6170"/>
    <w:rsid w:val="001C6CD6"/>
    <w:rsid w:val="001C6D41"/>
    <w:rsid w:val="001C705D"/>
    <w:rsid w:val="001C78B3"/>
    <w:rsid w:val="001C7C60"/>
    <w:rsid w:val="001D0822"/>
    <w:rsid w:val="001D0EB3"/>
    <w:rsid w:val="001D1543"/>
    <w:rsid w:val="001D18CB"/>
    <w:rsid w:val="001D2342"/>
    <w:rsid w:val="001D480D"/>
    <w:rsid w:val="001D4E53"/>
    <w:rsid w:val="001D5D86"/>
    <w:rsid w:val="001D5F53"/>
    <w:rsid w:val="001D5FDF"/>
    <w:rsid w:val="001D6A66"/>
    <w:rsid w:val="001D78E3"/>
    <w:rsid w:val="001E00CE"/>
    <w:rsid w:val="001E0A95"/>
    <w:rsid w:val="001E0C09"/>
    <w:rsid w:val="001E107A"/>
    <w:rsid w:val="001E2CFD"/>
    <w:rsid w:val="001E2E28"/>
    <w:rsid w:val="001E2FB3"/>
    <w:rsid w:val="001E2FFB"/>
    <w:rsid w:val="001E56F7"/>
    <w:rsid w:val="001E5BCF"/>
    <w:rsid w:val="001E5EFB"/>
    <w:rsid w:val="001E6809"/>
    <w:rsid w:val="001E6FC5"/>
    <w:rsid w:val="001E7323"/>
    <w:rsid w:val="001E771A"/>
    <w:rsid w:val="001E7A7A"/>
    <w:rsid w:val="001F0AFD"/>
    <w:rsid w:val="001F1320"/>
    <w:rsid w:val="001F1996"/>
    <w:rsid w:val="001F2793"/>
    <w:rsid w:val="001F2FE0"/>
    <w:rsid w:val="001F304C"/>
    <w:rsid w:val="001F39E1"/>
    <w:rsid w:val="001F3F29"/>
    <w:rsid w:val="001F4501"/>
    <w:rsid w:val="001F699F"/>
    <w:rsid w:val="001F6CF8"/>
    <w:rsid w:val="001F730F"/>
    <w:rsid w:val="001F736D"/>
    <w:rsid w:val="001F775D"/>
    <w:rsid w:val="001F77B1"/>
    <w:rsid w:val="0020022A"/>
    <w:rsid w:val="00200E50"/>
    <w:rsid w:val="00201050"/>
    <w:rsid w:val="0020202A"/>
    <w:rsid w:val="0020234D"/>
    <w:rsid w:val="002029FE"/>
    <w:rsid w:val="00202BA8"/>
    <w:rsid w:val="002035C2"/>
    <w:rsid w:val="00203C1E"/>
    <w:rsid w:val="00203DF3"/>
    <w:rsid w:val="002041E0"/>
    <w:rsid w:val="002043AB"/>
    <w:rsid w:val="00204A2F"/>
    <w:rsid w:val="00204FC9"/>
    <w:rsid w:val="00205036"/>
    <w:rsid w:val="0020529B"/>
    <w:rsid w:val="002052EB"/>
    <w:rsid w:val="00205386"/>
    <w:rsid w:val="00205478"/>
    <w:rsid w:val="00205A5A"/>
    <w:rsid w:val="00205B2D"/>
    <w:rsid w:val="00205B94"/>
    <w:rsid w:val="00206044"/>
    <w:rsid w:val="00206838"/>
    <w:rsid w:val="00206924"/>
    <w:rsid w:val="00206B28"/>
    <w:rsid w:val="00206F46"/>
    <w:rsid w:val="00210442"/>
    <w:rsid w:val="002109A4"/>
    <w:rsid w:val="00210C97"/>
    <w:rsid w:val="00211257"/>
    <w:rsid w:val="00211464"/>
    <w:rsid w:val="002115D0"/>
    <w:rsid w:val="00211905"/>
    <w:rsid w:val="002120F3"/>
    <w:rsid w:val="0021235A"/>
    <w:rsid w:val="002123FA"/>
    <w:rsid w:val="0021258F"/>
    <w:rsid w:val="002128DD"/>
    <w:rsid w:val="0021309E"/>
    <w:rsid w:val="002134BF"/>
    <w:rsid w:val="00214821"/>
    <w:rsid w:val="00215441"/>
    <w:rsid w:val="00215934"/>
    <w:rsid w:val="00216439"/>
    <w:rsid w:val="002166B5"/>
    <w:rsid w:val="00216FBD"/>
    <w:rsid w:val="002172D0"/>
    <w:rsid w:val="002200D8"/>
    <w:rsid w:val="002209D0"/>
    <w:rsid w:val="0022195C"/>
    <w:rsid w:val="00221F05"/>
    <w:rsid w:val="00221F13"/>
    <w:rsid w:val="0022219B"/>
    <w:rsid w:val="002223F4"/>
    <w:rsid w:val="0022281B"/>
    <w:rsid w:val="00222972"/>
    <w:rsid w:val="00222EAF"/>
    <w:rsid w:val="00223460"/>
    <w:rsid w:val="002237E0"/>
    <w:rsid w:val="00224003"/>
    <w:rsid w:val="0022468C"/>
    <w:rsid w:val="00224755"/>
    <w:rsid w:val="00224AEE"/>
    <w:rsid w:val="0022518C"/>
    <w:rsid w:val="002255A2"/>
    <w:rsid w:val="002257BA"/>
    <w:rsid w:val="00225B17"/>
    <w:rsid w:val="00225E5F"/>
    <w:rsid w:val="00226463"/>
    <w:rsid w:val="00226F17"/>
    <w:rsid w:val="00227219"/>
    <w:rsid w:val="00227845"/>
    <w:rsid w:val="002279BF"/>
    <w:rsid w:val="00227D74"/>
    <w:rsid w:val="00227F72"/>
    <w:rsid w:val="00230085"/>
    <w:rsid w:val="002301BA"/>
    <w:rsid w:val="002304DE"/>
    <w:rsid w:val="002305CC"/>
    <w:rsid w:val="00230814"/>
    <w:rsid w:val="00230AEF"/>
    <w:rsid w:val="00231A41"/>
    <w:rsid w:val="00231EBA"/>
    <w:rsid w:val="00232270"/>
    <w:rsid w:val="0023259C"/>
    <w:rsid w:val="00233208"/>
    <w:rsid w:val="00233392"/>
    <w:rsid w:val="0023360D"/>
    <w:rsid w:val="00233A02"/>
    <w:rsid w:val="002349E1"/>
    <w:rsid w:val="00234A8F"/>
    <w:rsid w:val="00234F6A"/>
    <w:rsid w:val="00235269"/>
    <w:rsid w:val="00235611"/>
    <w:rsid w:val="00235690"/>
    <w:rsid w:val="002360E5"/>
    <w:rsid w:val="0023640A"/>
    <w:rsid w:val="0023720F"/>
    <w:rsid w:val="00237621"/>
    <w:rsid w:val="0024030D"/>
    <w:rsid w:val="00240819"/>
    <w:rsid w:val="002410FF"/>
    <w:rsid w:val="0024131C"/>
    <w:rsid w:val="00241997"/>
    <w:rsid w:val="002427EC"/>
    <w:rsid w:val="00242C82"/>
    <w:rsid w:val="00242E61"/>
    <w:rsid w:val="00243541"/>
    <w:rsid w:val="002436BC"/>
    <w:rsid w:val="00243F43"/>
    <w:rsid w:val="002456ED"/>
    <w:rsid w:val="002457D3"/>
    <w:rsid w:val="00245C5A"/>
    <w:rsid w:val="0024644F"/>
    <w:rsid w:val="00246791"/>
    <w:rsid w:val="00246A77"/>
    <w:rsid w:val="00246D32"/>
    <w:rsid w:val="002472B5"/>
    <w:rsid w:val="00250E41"/>
    <w:rsid w:val="00251874"/>
    <w:rsid w:val="0025187F"/>
    <w:rsid w:val="00253867"/>
    <w:rsid w:val="00253C93"/>
    <w:rsid w:val="0025412B"/>
    <w:rsid w:val="0025461A"/>
    <w:rsid w:val="002547D4"/>
    <w:rsid w:val="0025495C"/>
    <w:rsid w:val="00254EB9"/>
    <w:rsid w:val="00255622"/>
    <w:rsid w:val="00255AE7"/>
    <w:rsid w:val="00255B11"/>
    <w:rsid w:val="00256F8D"/>
    <w:rsid w:val="002575AD"/>
    <w:rsid w:val="002600F7"/>
    <w:rsid w:val="00260539"/>
    <w:rsid w:val="00260704"/>
    <w:rsid w:val="00260906"/>
    <w:rsid w:val="002616E4"/>
    <w:rsid w:val="0026198E"/>
    <w:rsid w:val="00261995"/>
    <w:rsid w:val="002619B7"/>
    <w:rsid w:val="00261C36"/>
    <w:rsid w:val="002623E2"/>
    <w:rsid w:val="00262C91"/>
    <w:rsid w:val="002633B3"/>
    <w:rsid w:val="00263CBC"/>
    <w:rsid w:val="00263DF4"/>
    <w:rsid w:val="0026586D"/>
    <w:rsid w:val="00265925"/>
    <w:rsid w:val="002663CE"/>
    <w:rsid w:val="00266CBC"/>
    <w:rsid w:val="00266D9A"/>
    <w:rsid w:val="002670A7"/>
    <w:rsid w:val="00267A46"/>
    <w:rsid w:val="00270B73"/>
    <w:rsid w:val="00270EC3"/>
    <w:rsid w:val="002710E3"/>
    <w:rsid w:val="00271683"/>
    <w:rsid w:val="00271B21"/>
    <w:rsid w:val="0027205A"/>
    <w:rsid w:val="00272290"/>
    <w:rsid w:val="00272F92"/>
    <w:rsid w:val="00273AD1"/>
    <w:rsid w:val="00273B6A"/>
    <w:rsid w:val="00273C4A"/>
    <w:rsid w:val="00274402"/>
    <w:rsid w:val="002748C1"/>
    <w:rsid w:val="002751E0"/>
    <w:rsid w:val="002757FC"/>
    <w:rsid w:val="00275AB2"/>
    <w:rsid w:val="00276953"/>
    <w:rsid w:val="0027787A"/>
    <w:rsid w:val="00277BF8"/>
    <w:rsid w:val="00277D44"/>
    <w:rsid w:val="00280BFB"/>
    <w:rsid w:val="00281674"/>
    <w:rsid w:val="0028171C"/>
    <w:rsid w:val="00281F0D"/>
    <w:rsid w:val="00283098"/>
    <w:rsid w:val="002830D7"/>
    <w:rsid w:val="00283990"/>
    <w:rsid w:val="00283FF5"/>
    <w:rsid w:val="002844DA"/>
    <w:rsid w:val="00284E63"/>
    <w:rsid w:val="002857C0"/>
    <w:rsid w:val="00285E23"/>
    <w:rsid w:val="0028605A"/>
    <w:rsid w:val="00286FC8"/>
    <w:rsid w:val="00287192"/>
    <w:rsid w:val="00287598"/>
    <w:rsid w:val="0028781A"/>
    <w:rsid w:val="00287D32"/>
    <w:rsid w:val="00287E46"/>
    <w:rsid w:val="0029025E"/>
    <w:rsid w:val="0029088F"/>
    <w:rsid w:val="00291158"/>
    <w:rsid w:val="00291C10"/>
    <w:rsid w:val="00291CC0"/>
    <w:rsid w:val="002925B1"/>
    <w:rsid w:val="00292D95"/>
    <w:rsid w:val="00292F1E"/>
    <w:rsid w:val="00293D56"/>
    <w:rsid w:val="002943FB"/>
    <w:rsid w:val="002947F3"/>
    <w:rsid w:val="00294C86"/>
    <w:rsid w:val="00294E2B"/>
    <w:rsid w:val="00295420"/>
    <w:rsid w:val="00295B4C"/>
    <w:rsid w:val="00296BCC"/>
    <w:rsid w:val="002971F1"/>
    <w:rsid w:val="00297802"/>
    <w:rsid w:val="002A024D"/>
    <w:rsid w:val="002A1513"/>
    <w:rsid w:val="002A1C46"/>
    <w:rsid w:val="002A2B96"/>
    <w:rsid w:val="002A34FE"/>
    <w:rsid w:val="002A42C1"/>
    <w:rsid w:val="002A45B0"/>
    <w:rsid w:val="002A5545"/>
    <w:rsid w:val="002A592C"/>
    <w:rsid w:val="002A60CC"/>
    <w:rsid w:val="002A76A6"/>
    <w:rsid w:val="002A7845"/>
    <w:rsid w:val="002B0622"/>
    <w:rsid w:val="002B09C4"/>
    <w:rsid w:val="002B0B6E"/>
    <w:rsid w:val="002B0B9E"/>
    <w:rsid w:val="002B0E9C"/>
    <w:rsid w:val="002B1C65"/>
    <w:rsid w:val="002B3B45"/>
    <w:rsid w:val="002B479C"/>
    <w:rsid w:val="002B4A04"/>
    <w:rsid w:val="002B5293"/>
    <w:rsid w:val="002B594F"/>
    <w:rsid w:val="002B5DAB"/>
    <w:rsid w:val="002B667A"/>
    <w:rsid w:val="002B67FC"/>
    <w:rsid w:val="002B690E"/>
    <w:rsid w:val="002B6A6D"/>
    <w:rsid w:val="002B71CF"/>
    <w:rsid w:val="002B71DE"/>
    <w:rsid w:val="002B7748"/>
    <w:rsid w:val="002C129A"/>
    <w:rsid w:val="002C1E28"/>
    <w:rsid w:val="002C228E"/>
    <w:rsid w:val="002C27B6"/>
    <w:rsid w:val="002C3086"/>
    <w:rsid w:val="002C31E3"/>
    <w:rsid w:val="002C344B"/>
    <w:rsid w:val="002C35EE"/>
    <w:rsid w:val="002C417B"/>
    <w:rsid w:val="002C45AA"/>
    <w:rsid w:val="002C468B"/>
    <w:rsid w:val="002C480F"/>
    <w:rsid w:val="002C4EE4"/>
    <w:rsid w:val="002C5169"/>
    <w:rsid w:val="002C516E"/>
    <w:rsid w:val="002C5734"/>
    <w:rsid w:val="002C5D09"/>
    <w:rsid w:val="002C6FB4"/>
    <w:rsid w:val="002C72A6"/>
    <w:rsid w:val="002C7591"/>
    <w:rsid w:val="002C7C23"/>
    <w:rsid w:val="002C7E0E"/>
    <w:rsid w:val="002C7F7C"/>
    <w:rsid w:val="002D04BE"/>
    <w:rsid w:val="002D0A0B"/>
    <w:rsid w:val="002D0D48"/>
    <w:rsid w:val="002D0E2A"/>
    <w:rsid w:val="002D1236"/>
    <w:rsid w:val="002D137B"/>
    <w:rsid w:val="002D1CE1"/>
    <w:rsid w:val="002D2C9A"/>
    <w:rsid w:val="002D3383"/>
    <w:rsid w:val="002D33FF"/>
    <w:rsid w:val="002D4943"/>
    <w:rsid w:val="002D4C01"/>
    <w:rsid w:val="002D5319"/>
    <w:rsid w:val="002D5BD0"/>
    <w:rsid w:val="002D74C3"/>
    <w:rsid w:val="002D78BF"/>
    <w:rsid w:val="002E1036"/>
    <w:rsid w:val="002E10E6"/>
    <w:rsid w:val="002E12F2"/>
    <w:rsid w:val="002E18B5"/>
    <w:rsid w:val="002E1C92"/>
    <w:rsid w:val="002E3217"/>
    <w:rsid w:val="002E3237"/>
    <w:rsid w:val="002E3774"/>
    <w:rsid w:val="002E3A02"/>
    <w:rsid w:val="002E3ADC"/>
    <w:rsid w:val="002E3FE8"/>
    <w:rsid w:val="002E46C7"/>
    <w:rsid w:val="002E4A88"/>
    <w:rsid w:val="002E4B4F"/>
    <w:rsid w:val="002E4C90"/>
    <w:rsid w:val="002E614E"/>
    <w:rsid w:val="002E6281"/>
    <w:rsid w:val="002E6385"/>
    <w:rsid w:val="002E6442"/>
    <w:rsid w:val="002E6797"/>
    <w:rsid w:val="002E6B81"/>
    <w:rsid w:val="002E6F6E"/>
    <w:rsid w:val="002E711C"/>
    <w:rsid w:val="002E750A"/>
    <w:rsid w:val="002E7C1F"/>
    <w:rsid w:val="002F027B"/>
    <w:rsid w:val="002F06C1"/>
    <w:rsid w:val="002F0A7C"/>
    <w:rsid w:val="002F0EBC"/>
    <w:rsid w:val="002F1C57"/>
    <w:rsid w:val="002F1C9E"/>
    <w:rsid w:val="002F1D55"/>
    <w:rsid w:val="002F3155"/>
    <w:rsid w:val="002F3487"/>
    <w:rsid w:val="002F3588"/>
    <w:rsid w:val="002F365B"/>
    <w:rsid w:val="002F3B19"/>
    <w:rsid w:val="002F3CA8"/>
    <w:rsid w:val="002F4783"/>
    <w:rsid w:val="002F4B5F"/>
    <w:rsid w:val="002F4CC7"/>
    <w:rsid w:val="002F577E"/>
    <w:rsid w:val="002F589A"/>
    <w:rsid w:val="002F5E28"/>
    <w:rsid w:val="002F5E8A"/>
    <w:rsid w:val="002F603B"/>
    <w:rsid w:val="002F6ABA"/>
    <w:rsid w:val="002F77DB"/>
    <w:rsid w:val="00300044"/>
    <w:rsid w:val="0030007E"/>
    <w:rsid w:val="003004E4"/>
    <w:rsid w:val="0030072F"/>
    <w:rsid w:val="0030084A"/>
    <w:rsid w:val="00300947"/>
    <w:rsid w:val="00300DFF"/>
    <w:rsid w:val="00301352"/>
    <w:rsid w:val="00301763"/>
    <w:rsid w:val="0030192F"/>
    <w:rsid w:val="00301C7C"/>
    <w:rsid w:val="00301D87"/>
    <w:rsid w:val="003025A9"/>
    <w:rsid w:val="00302C12"/>
    <w:rsid w:val="003036CB"/>
    <w:rsid w:val="003038D9"/>
    <w:rsid w:val="00304049"/>
    <w:rsid w:val="003045A1"/>
    <w:rsid w:val="003052D1"/>
    <w:rsid w:val="003058C6"/>
    <w:rsid w:val="00305A21"/>
    <w:rsid w:val="00305FFE"/>
    <w:rsid w:val="00306009"/>
    <w:rsid w:val="00306319"/>
    <w:rsid w:val="003067FB"/>
    <w:rsid w:val="00306902"/>
    <w:rsid w:val="00306B79"/>
    <w:rsid w:val="00306C53"/>
    <w:rsid w:val="0030718C"/>
    <w:rsid w:val="003071BD"/>
    <w:rsid w:val="00307497"/>
    <w:rsid w:val="00307660"/>
    <w:rsid w:val="003079BB"/>
    <w:rsid w:val="00307FB4"/>
    <w:rsid w:val="00310262"/>
    <w:rsid w:val="0031047D"/>
    <w:rsid w:val="0031079F"/>
    <w:rsid w:val="00311154"/>
    <w:rsid w:val="00311AEA"/>
    <w:rsid w:val="00311F64"/>
    <w:rsid w:val="003120E9"/>
    <w:rsid w:val="00312484"/>
    <w:rsid w:val="00312A79"/>
    <w:rsid w:val="00312DEF"/>
    <w:rsid w:val="00313CE7"/>
    <w:rsid w:val="003140CD"/>
    <w:rsid w:val="003148E2"/>
    <w:rsid w:val="00314E39"/>
    <w:rsid w:val="00314E85"/>
    <w:rsid w:val="00315A99"/>
    <w:rsid w:val="00316131"/>
    <w:rsid w:val="00316624"/>
    <w:rsid w:val="00316CE3"/>
    <w:rsid w:val="00316D2C"/>
    <w:rsid w:val="00317289"/>
    <w:rsid w:val="0031768B"/>
    <w:rsid w:val="0031769B"/>
    <w:rsid w:val="00320304"/>
    <w:rsid w:val="00321851"/>
    <w:rsid w:val="00322AF6"/>
    <w:rsid w:val="00323CC2"/>
    <w:rsid w:val="00324171"/>
    <w:rsid w:val="00324457"/>
    <w:rsid w:val="003251CD"/>
    <w:rsid w:val="003254E2"/>
    <w:rsid w:val="00325C23"/>
    <w:rsid w:val="00326200"/>
    <w:rsid w:val="00326786"/>
    <w:rsid w:val="00326ADF"/>
    <w:rsid w:val="00326E2F"/>
    <w:rsid w:val="00327044"/>
    <w:rsid w:val="0032706C"/>
    <w:rsid w:val="0032721C"/>
    <w:rsid w:val="0032745B"/>
    <w:rsid w:val="0033218A"/>
    <w:rsid w:val="003324C1"/>
    <w:rsid w:val="00332CAF"/>
    <w:rsid w:val="00332F38"/>
    <w:rsid w:val="003338BC"/>
    <w:rsid w:val="00333946"/>
    <w:rsid w:val="003355F0"/>
    <w:rsid w:val="00335703"/>
    <w:rsid w:val="00335860"/>
    <w:rsid w:val="00335A36"/>
    <w:rsid w:val="00335C92"/>
    <w:rsid w:val="00335F34"/>
    <w:rsid w:val="00336550"/>
    <w:rsid w:val="0033716B"/>
    <w:rsid w:val="003373DE"/>
    <w:rsid w:val="00337514"/>
    <w:rsid w:val="00337566"/>
    <w:rsid w:val="00337B1C"/>
    <w:rsid w:val="00340422"/>
    <w:rsid w:val="003416F8"/>
    <w:rsid w:val="00341BE7"/>
    <w:rsid w:val="00341FFA"/>
    <w:rsid w:val="00342024"/>
    <w:rsid w:val="003424B7"/>
    <w:rsid w:val="00342C7D"/>
    <w:rsid w:val="00342E66"/>
    <w:rsid w:val="003437D0"/>
    <w:rsid w:val="003439DE"/>
    <w:rsid w:val="00343AF0"/>
    <w:rsid w:val="0034438D"/>
    <w:rsid w:val="00344537"/>
    <w:rsid w:val="00344786"/>
    <w:rsid w:val="00344C14"/>
    <w:rsid w:val="0034528B"/>
    <w:rsid w:val="00345555"/>
    <w:rsid w:val="0034598C"/>
    <w:rsid w:val="00346D8F"/>
    <w:rsid w:val="00346EB9"/>
    <w:rsid w:val="00347416"/>
    <w:rsid w:val="0034791B"/>
    <w:rsid w:val="00347BA6"/>
    <w:rsid w:val="00350430"/>
    <w:rsid w:val="003507AB"/>
    <w:rsid w:val="00351549"/>
    <w:rsid w:val="00351C2D"/>
    <w:rsid w:val="00351DA3"/>
    <w:rsid w:val="0035215C"/>
    <w:rsid w:val="003523BC"/>
    <w:rsid w:val="00352948"/>
    <w:rsid w:val="00352C3B"/>
    <w:rsid w:val="003530BF"/>
    <w:rsid w:val="00353648"/>
    <w:rsid w:val="00354654"/>
    <w:rsid w:val="0035497D"/>
    <w:rsid w:val="00355BAF"/>
    <w:rsid w:val="00356390"/>
    <w:rsid w:val="003563A3"/>
    <w:rsid w:val="00356E65"/>
    <w:rsid w:val="00356F14"/>
    <w:rsid w:val="003572D3"/>
    <w:rsid w:val="003572ED"/>
    <w:rsid w:val="00357608"/>
    <w:rsid w:val="00357A11"/>
    <w:rsid w:val="0036067D"/>
    <w:rsid w:val="003608CC"/>
    <w:rsid w:val="003609CC"/>
    <w:rsid w:val="00360D56"/>
    <w:rsid w:val="003612F2"/>
    <w:rsid w:val="00361C24"/>
    <w:rsid w:val="00361D74"/>
    <w:rsid w:val="003620DE"/>
    <w:rsid w:val="0036218A"/>
    <w:rsid w:val="00362951"/>
    <w:rsid w:val="0036315D"/>
    <w:rsid w:val="003632C4"/>
    <w:rsid w:val="0036361F"/>
    <w:rsid w:val="00363751"/>
    <w:rsid w:val="0036424F"/>
    <w:rsid w:val="003643D7"/>
    <w:rsid w:val="00364B6D"/>
    <w:rsid w:val="00364D72"/>
    <w:rsid w:val="003651D9"/>
    <w:rsid w:val="003651DB"/>
    <w:rsid w:val="00365D32"/>
    <w:rsid w:val="00366141"/>
    <w:rsid w:val="003668A1"/>
    <w:rsid w:val="0036710A"/>
    <w:rsid w:val="003671CA"/>
    <w:rsid w:val="00367A4A"/>
    <w:rsid w:val="00367C93"/>
    <w:rsid w:val="00367E35"/>
    <w:rsid w:val="003702F3"/>
    <w:rsid w:val="00370604"/>
    <w:rsid w:val="0037106E"/>
    <w:rsid w:val="00371338"/>
    <w:rsid w:val="0037168C"/>
    <w:rsid w:val="00371AAB"/>
    <w:rsid w:val="00371CD3"/>
    <w:rsid w:val="00374717"/>
    <w:rsid w:val="00374D7A"/>
    <w:rsid w:val="00375272"/>
    <w:rsid w:val="0037551D"/>
    <w:rsid w:val="00375A4F"/>
    <w:rsid w:val="00375AC0"/>
    <w:rsid w:val="00375B64"/>
    <w:rsid w:val="00375CF3"/>
    <w:rsid w:val="00375DD8"/>
    <w:rsid w:val="00376DAF"/>
    <w:rsid w:val="0037747B"/>
    <w:rsid w:val="00377579"/>
    <w:rsid w:val="00380026"/>
    <w:rsid w:val="003800D1"/>
    <w:rsid w:val="0038027A"/>
    <w:rsid w:val="003808B1"/>
    <w:rsid w:val="00380C66"/>
    <w:rsid w:val="00381014"/>
    <w:rsid w:val="003818D9"/>
    <w:rsid w:val="00381BEA"/>
    <w:rsid w:val="0038216B"/>
    <w:rsid w:val="00384077"/>
    <w:rsid w:val="00384367"/>
    <w:rsid w:val="003845D8"/>
    <w:rsid w:val="00384843"/>
    <w:rsid w:val="003848C4"/>
    <w:rsid w:val="00385D35"/>
    <w:rsid w:val="00386135"/>
    <w:rsid w:val="00386413"/>
    <w:rsid w:val="00386E0B"/>
    <w:rsid w:val="00387F9A"/>
    <w:rsid w:val="0039014B"/>
    <w:rsid w:val="00390483"/>
    <w:rsid w:val="00390772"/>
    <w:rsid w:val="003907FD"/>
    <w:rsid w:val="00390F99"/>
    <w:rsid w:val="003916F0"/>
    <w:rsid w:val="0039206F"/>
    <w:rsid w:val="0039282E"/>
    <w:rsid w:val="00392C59"/>
    <w:rsid w:val="003938CB"/>
    <w:rsid w:val="00393908"/>
    <w:rsid w:val="00394115"/>
    <w:rsid w:val="00394A57"/>
    <w:rsid w:val="0039602C"/>
    <w:rsid w:val="00396423"/>
    <w:rsid w:val="0039687E"/>
    <w:rsid w:val="00397751"/>
    <w:rsid w:val="00397D74"/>
    <w:rsid w:val="00397D92"/>
    <w:rsid w:val="00397F49"/>
    <w:rsid w:val="00397F6C"/>
    <w:rsid w:val="003A07B1"/>
    <w:rsid w:val="003A0F6E"/>
    <w:rsid w:val="003A1283"/>
    <w:rsid w:val="003A19EB"/>
    <w:rsid w:val="003A1A6E"/>
    <w:rsid w:val="003A2E37"/>
    <w:rsid w:val="003A3876"/>
    <w:rsid w:val="003A3C31"/>
    <w:rsid w:val="003A41EA"/>
    <w:rsid w:val="003A4302"/>
    <w:rsid w:val="003A438B"/>
    <w:rsid w:val="003A4640"/>
    <w:rsid w:val="003A4A5B"/>
    <w:rsid w:val="003A4B5E"/>
    <w:rsid w:val="003A4E90"/>
    <w:rsid w:val="003A5155"/>
    <w:rsid w:val="003A61DB"/>
    <w:rsid w:val="003A636F"/>
    <w:rsid w:val="003A6DA2"/>
    <w:rsid w:val="003B052D"/>
    <w:rsid w:val="003B1569"/>
    <w:rsid w:val="003B1856"/>
    <w:rsid w:val="003B1B74"/>
    <w:rsid w:val="003B1C27"/>
    <w:rsid w:val="003B1C41"/>
    <w:rsid w:val="003B2777"/>
    <w:rsid w:val="003B3A0E"/>
    <w:rsid w:val="003B3D45"/>
    <w:rsid w:val="003B409E"/>
    <w:rsid w:val="003B45BF"/>
    <w:rsid w:val="003B4B92"/>
    <w:rsid w:val="003B4D71"/>
    <w:rsid w:val="003B4E68"/>
    <w:rsid w:val="003B53F8"/>
    <w:rsid w:val="003B72FF"/>
    <w:rsid w:val="003B7AC3"/>
    <w:rsid w:val="003B7CDB"/>
    <w:rsid w:val="003C0374"/>
    <w:rsid w:val="003C0B52"/>
    <w:rsid w:val="003C10CD"/>
    <w:rsid w:val="003C1110"/>
    <w:rsid w:val="003C11E0"/>
    <w:rsid w:val="003C18B0"/>
    <w:rsid w:val="003C197F"/>
    <w:rsid w:val="003C19E9"/>
    <w:rsid w:val="003C1E8E"/>
    <w:rsid w:val="003C22DF"/>
    <w:rsid w:val="003C2DD4"/>
    <w:rsid w:val="003C2ED1"/>
    <w:rsid w:val="003C3532"/>
    <w:rsid w:val="003C3B81"/>
    <w:rsid w:val="003C4704"/>
    <w:rsid w:val="003C4EB1"/>
    <w:rsid w:val="003C52A4"/>
    <w:rsid w:val="003C5670"/>
    <w:rsid w:val="003C5930"/>
    <w:rsid w:val="003C6FE1"/>
    <w:rsid w:val="003C6FED"/>
    <w:rsid w:val="003C7352"/>
    <w:rsid w:val="003C77BD"/>
    <w:rsid w:val="003D039E"/>
    <w:rsid w:val="003D05DC"/>
    <w:rsid w:val="003D08BE"/>
    <w:rsid w:val="003D1935"/>
    <w:rsid w:val="003D1D5D"/>
    <w:rsid w:val="003D2B7B"/>
    <w:rsid w:val="003D3679"/>
    <w:rsid w:val="003D3EE6"/>
    <w:rsid w:val="003D3F36"/>
    <w:rsid w:val="003D4532"/>
    <w:rsid w:val="003D5699"/>
    <w:rsid w:val="003D5784"/>
    <w:rsid w:val="003D5BE5"/>
    <w:rsid w:val="003D5C58"/>
    <w:rsid w:val="003D5ED0"/>
    <w:rsid w:val="003D7068"/>
    <w:rsid w:val="003D7317"/>
    <w:rsid w:val="003E08BA"/>
    <w:rsid w:val="003E1770"/>
    <w:rsid w:val="003E1A21"/>
    <w:rsid w:val="003E1B01"/>
    <w:rsid w:val="003E20B1"/>
    <w:rsid w:val="003E21A7"/>
    <w:rsid w:val="003E23F7"/>
    <w:rsid w:val="003E27CD"/>
    <w:rsid w:val="003E30D6"/>
    <w:rsid w:val="003E3E35"/>
    <w:rsid w:val="003E472B"/>
    <w:rsid w:val="003E50CC"/>
    <w:rsid w:val="003E5C7A"/>
    <w:rsid w:val="003E6597"/>
    <w:rsid w:val="003E6FDC"/>
    <w:rsid w:val="003E72E8"/>
    <w:rsid w:val="003E73A2"/>
    <w:rsid w:val="003F021F"/>
    <w:rsid w:val="003F0985"/>
    <w:rsid w:val="003F09DC"/>
    <w:rsid w:val="003F0C5D"/>
    <w:rsid w:val="003F0DEC"/>
    <w:rsid w:val="003F13C7"/>
    <w:rsid w:val="003F2694"/>
    <w:rsid w:val="003F2CE8"/>
    <w:rsid w:val="003F2D43"/>
    <w:rsid w:val="003F400E"/>
    <w:rsid w:val="003F44A2"/>
    <w:rsid w:val="003F45E1"/>
    <w:rsid w:val="003F483C"/>
    <w:rsid w:val="003F579B"/>
    <w:rsid w:val="003F5DB9"/>
    <w:rsid w:val="003F7268"/>
    <w:rsid w:val="003F7337"/>
    <w:rsid w:val="003F736B"/>
    <w:rsid w:val="003F7797"/>
    <w:rsid w:val="004001DD"/>
    <w:rsid w:val="0040075D"/>
    <w:rsid w:val="00400E22"/>
    <w:rsid w:val="00400FD2"/>
    <w:rsid w:val="00401B2B"/>
    <w:rsid w:val="00401E0B"/>
    <w:rsid w:val="0040212C"/>
    <w:rsid w:val="00402D9E"/>
    <w:rsid w:val="00402E17"/>
    <w:rsid w:val="0040329D"/>
    <w:rsid w:val="00403773"/>
    <w:rsid w:val="004040EA"/>
    <w:rsid w:val="004041A9"/>
    <w:rsid w:val="004041EF"/>
    <w:rsid w:val="00404761"/>
    <w:rsid w:val="00404A2D"/>
    <w:rsid w:val="00404ACB"/>
    <w:rsid w:val="00404EE9"/>
    <w:rsid w:val="00405C0F"/>
    <w:rsid w:val="00405C4E"/>
    <w:rsid w:val="00405EA6"/>
    <w:rsid w:val="00405FBE"/>
    <w:rsid w:val="004063BF"/>
    <w:rsid w:val="00406C05"/>
    <w:rsid w:val="00407756"/>
    <w:rsid w:val="0040780B"/>
    <w:rsid w:val="00410255"/>
    <w:rsid w:val="00410279"/>
    <w:rsid w:val="004103BE"/>
    <w:rsid w:val="004103FD"/>
    <w:rsid w:val="004107D5"/>
    <w:rsid w:val="0041081C"/>
    <w:rsid w:val="00410A0A"/>
    <w:rsid w:val="00410CB2"/>
    <w:rsid w:val="004110FB"/>
    <w:rsid w:val="00411592"/>
    <w:rsid w:val="00411B7E"/>
    <w:rsid w:val="00412334"/>
    <w:rsid w:val="00412D92"/>
    <w:rsid w:val="00412E6A"/>
    <w:rsid w:val="004137D5"/>
    <w:rsid w:val="0041433A"/>
    <w:rsid w:val="00414FCD"/>
    <w:rsid w:val="00415AC1"/>
    <w:rsid w:val="0041641B"/>
    <w:rsid w:val="0041692E"/>
    <w:rsid w:val="00416958"/>
    <w:rsid w:val="00416A7A"/>
    <w:rsid w:val="00416B5D"/>
    <w:rsid w:val="0041725F"/>
    <w:rsid w:val="00417322"/>
    <w:rsid w:val="0042010E"/>
    <w:rsid w:val="004201DA"/>
    <w:rsid w:val="00420657"/>
    <w:rsid w:val="004207C8"/>
    <w:rsid w:val="00421AC8"/>
    <w:rsid w:val="00421BC4"/>
    <w:rsid w:val="00421C4B"/>
    <w:rsid w:val="00422244"/>
    <w:rsid w:val="00423422"/>
    <w:rsid w:val="004234CE"/>
    <w:rsid w:val="0042450A"/>
    <w:rsid w:val="00424BEB"/>
    <w:rsid w:val="00424C58"/>
    <w:rsid w:val="0042541C"/>
    <w:rsid w:val="00425983"/>
    <w:rsid w:val="00425CA9"/>
    <w:rsid w:val="00425E1E"/>
    <w:rsid w:val="00425E59"/>
    <w:rsid w:val="004265DF"/>
    <w:rsid w:val="0042668F"/>
    <w:rsid w:val="0042678E"/>
    <w:rsid w:val="004269BF"/>
    <w:rsid w:val="00427ADD"/>
    <w:rsid w:val="00427B68"/>
    <w:rsid w:val="00427EAA"/>
    <w:rsid w:val="00430724"/>
    <w:rsid w:val="00431336"/>
    <w:rsid w:val="004313CA"/>
    <w:rsid w:val="00431609"/>
    <w:rsid w:val="00431975"/>
    <w:rsid w:val="00431A7F"/>
    <w:rsid w:val="004335A2"/>
    <w:rsid w:val="004335FF"/>
    <w:rsid w:val="00433669"/>
    <w:rsid w:val="004337B8"/>
    <w:rsid w:val="004352B1"/>
    <w:rsid w:val="00435937"/>
    <w:rsid w:val="0043597D"/>
    <w:rsid w:val="00436193"/>
    <w:rsid w:val="004365F4"/>
    <w:rsid w:val="00436890"/>
    <w:rsid w:val="00436BFA"/>
    <w:rsid w:val="00437176"/>
    <w:rsid w:val="0043771D"/>
    <w:rsid w:val="004408A4"/>
    <w:rsid w:val="00440C72"/>
    <w:rsid w:val="00442040"/>
    <w:rsid w:val="00442895"/>
    <w:rsid w:val="00442B91"/>
    <w:rsid w:val="00442CF9"/>
    <w:rsid w:val="00443916"/>
    <w:rsid w:val="00443F33"/>
    <w:rsid w:val="0044414D"/>
    <w:rsid w:val="00445025"/>
    <w:rsid w:val="00445946"/>
    <w:rsid w:val="004462C4"/>
    <w:rsid w:val="00446420"/>
    <w:rsid w:val="00446B85"/>
    <w:rsid w:val="0044708F"/>
    <w:rsid w:val="00447BC7"/>
    <w:rsid w:val="00447E35"/>
    <w:rsid w:val="00447EBA"/>
    <w:rsid w:val="00450BB3"/>
    <w:rsid w:val="0045115B"/>
    <w:rsid w:val="00452EEC"/>
    <w:rsid w:val="00453000"/>
    <w:rsid w:val="00453F43"/>
    <w:rsid w:val="0045418B"/>
    <w:rsid w:val="00454466"/>
    <w:rsid w:val="00454564"/>
    <w:rsid w:val="004546AB"/>
    <w:rsid w:val="004555E8"/>
    <w:rsid w:val="00455904"/>
    <w:rsid w:val="00455C06"/>
    <w:rsid w:val="00455F11"/>
    <w:rsid w:val="00455F96"/>
    <w:rsid w:val="00456254"/>
    <w:rsid w:val="004565E5"/>
    <w:rsid w:val="00456BAC"/>
    <w:rsid w:val="00457927"/>
    <w:rsid w:val="0046022A"/>
    <w:rsid w:val="004603AF"/>
    <w:rsid w:val="00460F12"/>
    <w:rsid w:val="00461BB4"/>
    <w:rsid w:val="00461D9F"/>
    <w:rsid w:val="00462057"/>
    <w:rsid w:val="00462140"/>
    <w:rsid w:val="0046256E"/>
    <w:rsid w:val="00462886"/>
    <w:rsid w:val="00462F5D"/>
    <w:rsid w:val="00463681"/>
    <w:rsid w:val="00463777"/>
    <w:rsid w:val="00463DD5"/>
    <w:rsid w:val="00465AE0"/>
    <w:rsid w:val="00466021"/>
    <w:rsid w:val="004660E4"/>
    <w:rsid w:val="00466108"/>
    <w:rsid w:val="004665C7"/>
    <w:rsid w:val="00466941"/>
    <w:rsid w:val="00466B1E"/>
    <w:rsid w:val="00466B3D"/>
    <w:rsid w:val="0046710A"/>
    <w:rsid w:val="00467456"/>
    <w:rsid w:val="004704FB"/>
    <w:rsid w:val="004712C4"/>
    <w:rsid w:val="0047187B"/>
    <w:rsid w:val="00472208"/>
    <w:rsid w:val="00473389"/>
    <w:rsid w:val="004735CE"/>
    <w:rsid w:val="00473B4F"/>
    <w:rsid w:val="00473B79"/>
    <w:rsid w:val="0047469C"/>
    <w:rsid w:val="004746A2"/>
    <w:rsid w:val="00474FFE"/>
    <w:rsid w:val="00476055"/>
    <w:rsid w:val="00476481"/>
    <w:rsid w:val="004769CA"/>
    <w:rsid w:val="00476EB9"/>
    <w:rsid w:val="00477055"/>
    <w:rsid w:val="00477499"/>
    <w:rsid w:val="00477726"/>
    <w:rsid w:val="004801BB"/>
    <w:rsid w:val="00481062"/>
    <w:rsid w:val="00481A2A"/>
    <w:rsid w:val="00481A69"/>
    <w:rsid w:val="00481DC3"/>
    <w:rsid w:val="004820DD"/>
    <w:rsid w:val="004822A1"/>
    <w:rsid w:val="00483A2B"/>
    <w:rsid w:val="004844E3"/>
    <w:rsid w:val="004856B6"/>
    <w:rsid w:val="004856C1"/>
    <w:rsid w:val="00485A0B"/>
    <w:rsid w:val="00485A66"/>
    <w:rsid w:val="00485C8A"/>
    <w:rsid w:val="00485CF7"/>
    <w:rsid w:val="004865BC"/>
    <w:rsid w:val="00486602"/>
    <w:rsid w:val="004868AB"/>
    <w:rsid w:val="00486A19"/>
    <w:rsid w:val="0048720C"/>
    <w:rsid w:val="00490F8D"/>
    <w:rsid w:val="004915E0"/>
    <w:rsid w:val="00491601"/>
    <w:rsid w:val="0049175B"/>
    <w:rsid w:val="00491BCB"/>
    <w:rsid w:val="004922C9"/>
    <w:rsid w:val="004935C7"/>
    <w:rsid w:val="00493734"/>
    <w:rsid w:val="00493A7E"/>
    <w:rsid w:val="00493EE6"/>
    <w:rsid w:val="00493F92"/>
    <w:rsid w:val="00494BDE"/>
    <w:rsid w:val="00494EC7"/>
    <w:rsid w:val="00496C9D"/>
    <w:rsid w:val="004971B3"/>
    <w:rsid w:val="00497884"/>
    <w:rsid w:val="00497BD2"/>
    <w:rsid w:val="00497BE4"/>
    <w:rsid w:val="00497CAE"/>
    <w:rsid w:val="00497D0C"/>
    <w:rsid w:val="00497F0B"/>
    <w:rsid w:val="00497FDA"/>
    <w:rsid w:val="004A04E2"/>
    <w:rsid w:val="004A06D1"/>
    <w:rsid w:val="004A0C52"/>
    <w:rsid w:val="004A1181"/>
    <w:rsid w:val="004A15C3"/>
    <w:rsid w:val="004A2485"/>
    <w:rsid w:val="004A2A91"/>
    <w:rsid w:val="004A348D"/>
    <w:rsid w:val="004A398A"/>
    <w:rsid w:val="004A3E9A"/>
    <w:rsid w:val="004A4F38"/>
    <w:rsid w:val="004A5494"/>
    <w:rsid w:val="004A6438"/>
    <w:rsid w:val="004A6538"/>
    <w:rsid w:val="004A66F1"/>
    <w:rsid w:val="004A67F6"/>
    <w:rsid w:val="004A68EA"/>
    <w:rsid w:val="004A750A"/>
    <w:rsid w:val="004A7559"/>
    <w:rsid w:val="004A76BB"/>
    <w:rsid w:val="004A7D5F"/>
    <w:rsid w:val="004A7EB1"/>
    <w:rsid w:val="004B088A"/>
    <w:rsid w:val="004B1561"/>
    <w:rsid w:val="004B2559"/>
    <w:rsid w:val="004B2BF6"/>
    <w:rsid w:val="004B2EDA"/>
    <w:rsid w:val="004B2F20"/>
    <w:rsid w:val="004B328F"/>
    <w:rsid w:val="004B382C"/>
    <w:rsid w:val="004B3AE1"/>
    <w:rsid w:val="004B3B4A"/>
    <w:rsid w:val="004B4306"/>
    <w:rsid w:val="004B49A3"/>
    <w:rsid w:val="004B4A74"/>
    <w:rsid w:val="004B5B09"/>
    <w:rsid w:val="004B69B3"/>
    <w:rsid w:val="004B69DB"/>
    <w:rsid w:val="004B738E"/>
    <w:rsid w:val="004C01B9"/>
    <w:rsid w:val="004C097C"/>
    <w:rsid w:val="004C0BDD"/>
    <w:rsid w:val="004C0FC8"/>
    <w:rsid w:val="004C1464"/>
    <w:rsid w:val="004C1F2E"/>
    <w:rsid w:val="004C2377"/>
    <w:rsid w:val="004C2699"/>
    <w:rsid w:val="004C286A"/>
    <w:rsid w:val="004C30E2"/>
    <w:rsid w:val="004C3FCF"/>
    <w:rsid w:val="004C51EB"/>
    <w:rsid w:val="004C56B0"/>
    <w:rsid w:val="004C5D8D"/>
    <w:rsid w:val="004C60EB"/>
    <w:rsid w:val="004C6A7F"/>
    <w:rsid w:val="004C6ECA"/>
    <w:rsid w:val="004C72A3"/>
    <w:rsid w:val="004C792C"/>
    <w:rsid w:val="004C7D2F"/>
    <w:rsid w:val="004D1914"/>
    <w:rsid w:val="004D1BDD"/>
    <w:rsid w:val="004D2EB1"/>
    <w:rsid w:val="004D2FA2"/>
    <w:rsid w:val="004D371F"/>
    <w:rsid w:val="004D3FF9"/>
    <w:rsid w:val="004D4AA8"/>
    <w:rsid w:val="004D50B5"/>
    <w:rsid w:val="004D534A"/>
    <w:rsid w:val="004D5E85"/>
    <w:rsid w:val="004D623E"/>
    <w:rsid w:val="004D6618"/>
    <w:rsid w:val="004D78A1"/>
    <w:rsid w:val="004D7952"/>
    <w:rsid w:val="004D7BEF"/>
    <w:rsid w:val="004E0007"/>
    <w:rsid w:val="004E0162"/>
    <w:rsid w:val="004E02D1"/>
    <w:rsid w:val="004E03C2"/>
    <w:rsid w:val="004E1AA2"/>
    <w:rsid w:val="004E1D31"/>
    <w:rsid w:val="004E23D9"/>
    <w:rsid w:val="004E34C6"/>
    <w:rsid w:val="004E3BD5"/>
    <w:rsid w:val="004E4008"/>
    <w:rsid w:val="004E40B2"/>
    <w:rsid w:val="004E438F"/>
    <w:rsid w:val="004E47E3"/>
    <w:rsid w:val="004E5075"/>
    <w:rsid w:val="004E5892"/>
    <w:rsid w:val="004E5B14"/>
    <w:rsid w:val="004E5E7F"/>
    <w:rsid w:val="004E7045"/>
    <w:rsid w:val="004E73F7"/>
    <w:rsid w:val="004E7B96"/>
    <w:rsid w:val="004F00B0"/>
    <w:rsid w:val="004F00CC"/>
    <w:rsid w:val="004F0A8D"/>
    <w:rsid w:val="004F0BF9"/>
    <w:rsid w:val="004F1989"/>
    <w:rsid w:val="004F1A18"/>
    <w:rsid w:val="004F3B77"/>
    <w:rsid w:val="004F3F82"/>
    <w:rsid w:val="004F4819"/>
    <w:rsid w:val="004F4860"/>
    <w:rsid w:val="004F55B7"/>
    <w:rsid w:val="004F57E0"/>
    <w:rsid w:val="004F5B16"/>
    <w:rsid w:val="004F5B5E"/>
    <w:rsid w:val="004F5FAA"/>
    <w:rsid w:val="004F640B"/>
    <w:rsid w:val="004F67F6"/>
    <w:rsid w:val="004F6B46"/>
    <w:rsid w:val="004F6BFF"/>
    <w:rsid w:val="004F6E93"/>
    <w:rsid w:val="0050037E"/>
    <w:rsid w:val="00500AF6"/>
    <w:rsid w:val="00501041"/>
    <w:rsid w:val="00501243"/>
    <w:rsid w:val="005014E6"/>
    <w:rsid w:val="00501C7E"/>
    <w:rsid w:val="0050294E"/>
    <w:rsid w:val="00502C34"/>
    <w:rsid w:val="00502D5C"/>
    <w:rsid w:val="0050303A"/>
    <w:rsid w:val="005035A8"/>
    <w:rsid w:val="00504132"/>
    <w:rsid w:val="00504A52"/>
    <w:rsid w:val="0050514C"/>
    <w:rsid w:val="00505D91"/>
    <w:rsid w:val="00507100"/>
    <w:rsid w:val="00507426"/>
    <w:rsid w:val="00507613"/>
    <w:rsid w:val="00507775"/>
    <w:rsid w:val="00510021"/>
    <w:rsid w:val="00510796"/>
    <w:rsid w:val="005109F2"/>
    <w:rsid w:val="00510A1B"/>
    <w:rsid w:val="00511223"/>
    <w:rsid w:val="00511BCB"/>
    <w:rsid w:val="00511BDC"/>
    <w:rsid w:val="00511C69"/>
    <w:rsid w:val="0051287D"/>
    <w:rsid w:val="005141FE"/>
    <w:rsid w:val="005146CA"/>
    <w:rsid w:val="00514DA2"/>
    <w:rsid w:val="00514ED5"/>
    <w:rsid w:val="00515AAB"/>
    <w:rsid w:val="0051612D"/>
    <w:rsid w:val="00516981"/>
    <w:rsid w:val="00516E8D"/>
    <w:rsid w:val="00520487"/>
    <w:rsid w:val="005212F4"/>
    <w:rsid w:val="00521894"/>
    <w:rsid w:val="005218BF"/>
    <w:rsid w:val="005232AE"/>
    <w:rsid w:val="00523B21"/>
    <w:rsid w:val="00524016"/>
    <w:rsid w:val="0052444A"/>
    <w:rsid w:val="0052448D"/>
    <w:rsid w:val="0052472C"/>
    <w:rsid w:val="00524C06"/>
    <w:rsid w:val="00525DB2"/>
    <w:rsid w:val="00525F3D"/>
    <w:rsid w:val="0052642B"/>
    <w:rsid w:val="00526531"/>
    <w:rsid w:val="0052678C"/>
    <w:rsid w:val="00526C80"/>
    <w:rsid w:val="00526EF3"/>
    <w:rsid w:val="00527184"/>
    <w:rsid w:val="00527520"/>
    <w:rsid w:val="005275CB"/>
    <w:rsid w:val="00527CBE"/>
    <w:rsid w:val="0053082C"/>
    <w:rsid w:val="00530C8A"/>
    <w:rsid w:val="00530FE7"/>
    <w:rsid w:val="00531216"/>
    <w:rsid w:val="005321F9"/>
    <w:rsid w:val="00532DEA"/>
    <w:rsid w:val="00533880"/>
    <w:rsid w:val="00533F2C"/>
    <w:rsid w:val="00534E86"/>
    <w:rsid w:val="00536861"/>
    <w:rsid w:val="00536BDB"/>
    <w:rsid w:val="00536E37"/>
    <w:rsid w:val="0053752E"/>
    <w:rsid w:val="00540098"/>
    <w:rsid w:val="005404E3"/>
    <w:rsid w:val="0054099F"/>
    <w:rsid w:val="005409E9"/>
    <w:rsid w:val="00540B60"/>
    <w:rsid w:val="00540D8A"/>
    <w:rsid w:val="00540DFA"/>
    <w:rsid w:val="005416FF"/>
    <w:rsid w:val="00541880"/>
    <w:rsid w:val="00541E36"/>
    <w:rsid w:val="0054293D"/>
    <w:rsid w:val="00543085"/>
    <w:rsid w:val="005434B4"/>
    <w:rsid w:val="00544279"/>
    <w:rsid w:val="00544379"/>
    <w:rsid w:val="005447A7"/>
    <w:rsid w:val="00544B83"/>
    <w:rsid w:val="00544C12"/>
    <w:rsid w:val="00545352"/>
    <w:rsid w:val="00545685"/>
    <w:rsid w:val="005462A3"/>
    <w:rsid w:val="00546CE5"/>
    <w:rsid w:val="0054726D"/>
    <w:rsid w:val="005474E9"/>
    <w:rsid w:val="00547AAE"/>
    <w:rsid w:val="00550198"/>
    <w:rsid w:val="005508D3"/>
    <w:rsid w:val="0055120C"/>
    <w:rsid w:val="005513F9"/>
    <w:rsid w:val="0055162B"/>
    <w:rsid w:val="00551940"/>
    <w:rsid w:val="00552589"/>
    <w:rsid w:val="0055261D"/>
    <w:rsid w:val="00552C58"/>
    <w:rsid w:val="00554E98"/>
    <w:rsid w:val="00554F99"/>
    <w:rsid w:val="005559A8"/>
    <w:rsid w:val="005563E2"/>
    <w:rsid w:val="0055659E"/>
    <w:rsid w:val="00556FB2"/>
    <w:rsid w:val="00557B0D"/>
    <w:rsid w:val="00557D23"/>
    <w:rsid w:val="00560507"/>
    <w:rsid w:val="00560526"/>
    <w:rsid w:val="00560EDE"/>
    <w:rsid w:val="00561514"/>
    <w:rsid w:val="005618E9"/>
    <w:rsid w:val="00561E20"/>
    <w:rsid w:val="00561E4F"/>
    <w:rsid w:val="00561EAC"/>
    <w:rsid w:val="00561F1B"/>
    <w:rsid w:val="005628DB"/>
    <w:rsid w:val="0056290F"/>
    <w:rsid w:val="00562BF3"/>
    <w:rsid w:val="00562CE9"/>
    <w:rsid w:val="00562E45"/>
    <w:rsid w:val="005634EC"/>
    <w:rsid w:val="00563A01"/>
    <w:rsid w:val="00563FFB"/>
    <w:rsid w:val="005647E6"/>
    <w:rsid w:val="00564F5F"/>
    <w:rsid w:val="00565E1B"/>
    <w:rsid w:val="00565FD3"/>
    <w:rsid w:val="005667EC"/>
    <w:rsid w:val="005669F0"/>
    <w:rsid w:val="005671AE"/>
    <w:rsid w:val="00567969"/>
    <w:rsid w:val="00567CC9"/>
    <w:rsid w:val="00567DBC"/>
    <w:rsid w:val="00570185"/>
    <w:rsid w:val="00570DB3"/>
    <w:rsid w:val="00570DDE"/>
    <w:rsid w:val="00570E01"/>
    <w:rsid w:val="00570F0A"/>
    <w:rsid w:val="00571FCA"/>
    <w:rsid w:val="00572316"/>
    <w:rsid w:val="005725E5"/>
    <w:rsid w:val="005726ED"/>
    <w:rsid w:val="005729B3"/>
    <w:rsid w:val="00572AA8"/>
    <w:rsid w:val="00573208"/>
    <w:rsid w:val="00573767"/>
    <w:rsid w:val="00574510"/>
    <w:rsid w:val="005752F7"/>
    <w:rsid w:val="00576187"/>
    <w:rsid w:val="005768D5"/>
    <w:rsid w:val="00577847"/>
    <w:rsid w:val="00577FBC"/>
    <w:rsid w:val="0058018B"/>
    <w:rsid w:val="0058028A"/>
    <w:rsid w:val="00580307"/>
    <w:rsid w:val="005806B7"/>
    <w:rsid w:val="00580A0F"/>
    <w:rsid w:val="00580B17"/>
    <w:rsid w:val="00580BEF"/>
    <w:rsid w:val="00580D4A"/>
    <w:rsid w:val="005815FF"/>
    <w:rsid w:val="00581BA7"/>
    <w:rsid w:val="00581F45"/>
    <w:rsid w:val="0058215B"/>
    <w:rsid w:val="00582951"/>
    <w:rsid w:val="00582F6F"/>
    <w:rsid w:val="005832AE"/>
    <w:rsid w:val="005834AD"/>
    <w:rsid w:val="005835A5"/>
    <w:rsid w:val="005835C6"/>
    <w:rsid w:val="00583F42"/>
    <w:rsid w:val="005848BA"/>
    <w:rsid w:val="00584EE1"/>
    <w:rsid w:val="0058542B"/>
    <w:rsid w:val="005854DD"/>
    <w:rsid w:val="005857B4"/>
    <w:rsid w:val="005858FA"/>
    <w:rsid w:val="005867A1"/>
    <w:rsid w:val="005869CB"/>
    <w:rsid w:val="00587359"/>
    <w:rsid w:val="005879CF"/>
    <w:rsid w:val="00587FCE"/>
    <w:rsid w:val="00590711"/>
    <w:rsid w:val="005907D4"/>
    <w:rsid w:val="0059185A"/>
    <w:rsid w:val="005920D6"/>
    <w:rsid w:val="00592485"/>
    <w:rsid w:val="005935A5"/>
    <w:rsid w:val="005935E5"/>
    <w:rsid w:val="0059418C"/>
    <w:rsid w:val="00594626"/>
    <w:rsid w:val="005955F8"/>
    <w:rsid w:val="00595FBC"/>
    <w:rsid w:val="005960DB"/>
    <w:rsid w:val="00596128"/>
    <w:rsid w:val="0059689A"/>
    <w:rsid w:val="0059689C"/>
    <w:rsid w:val="00596AF9"/>
    <w:rsid w:val="00597098"/>
    <w:rsid w:val="0059742B"/>
    <w:rsid w:val="0059761F"/>
    <w:rsid w:val="0059768F"/>
    <w:rsid w:val="00597A45"/>
    <w:rsid w:val="00597CD8"/>
    <w:rsid w:val="005A010F"/>
    <w:rsid w:val="005A08FB"/>
    <w:rsid w:val="005A1743"/>
    <w:rsid w:val="005A197F"/>
    <w:rsid w:val="005A2198"/>
    <w:rsid w:val="005A2385"/>
    <w:rsid w:val="005A23A1"/>
    <w:rsid w:val="005A289B"/>
    <w:rsid w:val="005A3050"/>
    <w:rsid w:val="005A394A"/>
    <w:rsid w:val="005A3A0F"/>
    <w:rsid w:val="005A3B76"/>
    <w:rsid w:val="005A4ACC"/>
    <w:rsid w:val="005A5052"/>
    <w:rsid w:val="005A54DD"/>
    <w:rsid w:val="005A5696"/>
    <w:rsid w:val="005A576F"/>
    <w:rsid w:val="005A6193"/>
    <w:rsid w:val="005A65D4"/>
    <w:rsid w:val="005A6D38"/>
    <w:rsid w:val="005A728D"/>
    <w:rsid w:val="005A7494"/>
    <w:rsid w:val="005B077E"/>
    <w:rsid w:val="005B0BD8"/>
    <w:rsid w:val="005B0E27"/>
    <w:rsid w:val="005B18C8"/>
    <w:rsid w:val="005B18FD"/>
    <w:rsid w:val="005B1A73"/>
    <w:rsid w:val="005B227A"/>
    <w:rsid w:val="005B227C"/>
    <w:rsid w:val="005B253B"/>
    <w:rsid w:val="005B26D9"/>
    <w:rsid w:val="005B30D5"/>
    <w:rsid w:val="005B38F1"/>
    <w:rsid w:val="005B4B08"/>
    <w:rsid w:val="005B4C41"/>
    <w:rsid w:val="005B5AFA"/>
    <w:rsid w:val="005B5B71"/>
    <w:rsid w:val="005B6193"/>
    <w:rsid w:val="005B6366"/>
    <w:rsid w:val="005B6AB0"/>
    <w:rsid w:val="005B728F"/>
    <w:rsid w:val="005B73C3"/>
    <w:rsid w:val="005B752D"/>
    <w:rsid w:val="005B757B"/>
    <w:rsid w:val="005B76DA"/>
    <w:rsid w:val="005B7AA5"/>
    <w:rsid w:val="005C056E"/>
    <w:rsid w:val="005C095E"/>
    <w:rsid w:val="005C0D6F"/>
    <w:rsid w:val="005C0FF2"/>
    <w:rsid w:val="005C174C"/>
    <w:rsid w:val="005C33F0"/>
    <w:rsid w:val="005C3D63"/>
    <w:rsid w:val="005C42F1"/>
    <w:rsid w:val="005C5947"/>
    <w:rsid w:val="005C5C45"/>
    <w:rsid w:val="005C5EA0"/>
    <w:rsid w:val="005C65E7"/>
    <w:rsid w:val="005C67F6"/>
    <w:rsid w:val="005C6E8C"/>
    <w:rsid w:val="005C7386"/>
    <w:rsid w:val="005C7B2E"/>
    <w:rsid w:val="005C7BEE"/>
    <w:rsid w:val="005C7F60"/>
    <w:rsid w:val="005D0944"/>
    <w:rsid w:val="005D1308"/>
    <w:rsid w:val="005D167B"/>
    <w:rsid w:val="005D1CB1"/>
    <w:rsid w:val="005D1F29"/>
    <w:rsid w:val="005D2A5F"/>
    <w:rsid w:val="005D2AA6"/>
    <w:rsid w:val="005D2D38"/>
    <w:rsid w:val="005D2E82"/>
    <w:rsid w:val="005D340D"/>
    <w:rsid w:val="005D373D"/>
    <w:rsid w:val="005D37D8"/>
    <w:rsid w:val="005D3C0C"/>
    <w:rsid w:val="005D3C62"/>
    <w:rsid w:val="005D4124"/>
    <w:rsid w:val="005D47D0"/>
    <w:rsid w:val="005D4A01"/>
    <w:rsid w:val="005D4BDD"/>
    <w:rsid w:val="005D4D29"/>
    <w:rsid w:val="005D4EA2"/>
    <w:rsid w:val="005D5196"/>
    <w:rsid w:val="005D527A"/>
    <w:rsid w:val="005D67CC"/>
    <w:rsid w:val="005D6961"/>
    <w:rsid w:val="005D6CED"/>
    <w:rsid w:val="005D6ED6"/>
    <w:rsid w:val="005D7D91"/>
    <w:rsid w:val="005E0728"/>
    <w:rsid w:val="005E09EA"/>
    <w:rsid w:val="005E1376"/>
    <w:rsid w:val="005E22A9"/>
    <w:rsid w:val="005E247C"/>
    <w:rsid w:val="005E24B7"/>
    <w:rsid w:val="005E2839"/>
    <w:rsid w:val="005E326D"/>
    <w:rsid w:val="005E37D1"/>
    <w:rsid w:val="005E460C"/>
    <w:rsid w:val="005E4929"/>
    <w:rsid w:val="005E4E0E"/>
    <w:rsid w:val="005E4F22"/>
    <w:rsid w:val="005E4F82"/>
    <w:rsid w:val="005E6170"/>
    <w:rsid w:val="005E6C7A"/>
    <w:rsid w:val="005E6FBF"/>
    <w:rsid w:val="005F16A9"/>
    <w:rsid w:val="005F1E2E"/>
    <w:rsid w:val="005F2337"/>
    <w:rsid w:val="005F2571"/>
    <w:rsid w:val="005F27A0"/>
    <w:rsid w:val="005F2844"/>
    <w:rsid w:val="005F2D99"/>
    <w:rsid w:val="005F3A3F"/>
    <w:rsid w:val="005F4C21"/>
    <w:rsid w:val="005F4C35"/>
    <w:rsid w:val="005F4DCA"/>
    <w:rsid w:val="005F5504"/>
    <w:rsid w:val="005F56E3"/>
    <w:rsid w:val="005F5AAE"/>
    <w:rsid w:val="005F5B8D"/>
    <w:rsid w:val="005F5E2A"/>
    <w:rsid w:val="00600330"/>
    <w:rsid w:val="00600E66"/>
    <w:rsid w:val="00600EA1"/>
    <w:rsid w:val="0060196F"/>
    <w:rsid w:val="00601BB5"/>
    <w:rsid w:val="006024DB"/>
    <w:rsid w:val="0060252B"/>
    <w:rsid w:val="00602638"/>
    <w:rsid w:val="00603792"/>
    <w:rsid w:val="006038FF"/>
    <w:rsid w:val="00603EA5"/>
    <w:rsid w:val="00604BE4"/>
    <w:rsid w:val="0060505C"/>
    <w:rsid w:val="00605FD8"/>
    <w:rsid w:val="00605FFF"/>
    <w:rsid w:val="00606941"/>
    <w:rsid w:val="00606B5E"/>
    <w:rsid w:val="00607129"/>
    <w:rsid w:val="00607801"/>
    <w:rsid w:val="006079A2"/>
    <w:rsid w:val="00607CF3"/>
    <w:rsid w:val="00610789"/>
    <w:rsid w:val="00610B11"/>
    <w:rsid w:val="00610DF6"/>
    <w:rsid w:val="00610EAE"/>
    <w:rsid w:val="00611634"/>
    <w:rsid w:val="006127C3"/>
    <w:rsid w:val="00612ACB"/>
    <w:rsid w:val="00612C1C"/>
    <w:rsid w:val="006130C7"/>
    <w:rsid w:val="00613967"/>
    <w:rsid w:val="00615027"/>
    <w:rsid w:val="006151F8"/>
    <w:rsid w:val="006154C4"/>
    <w:rsid w:val="006159B9"/>
    <w:rsid w:val="00615EA3"/>
    <w:rsid w:val="006169B9"/>
    <w:rsid w:val="00616EDC"/>
    <w:rsid w:val="00616EFB"/>
    <w:rsid w:val="00617A70"/>
    <w:rsid w:val="00617EB2"/>
    <w:rsid w:val="00617FC1"/>
    <w:rsid w:val="00620F8C"/>
    <w:rsid w:val="0062105E"/>
    <w:rsid w:val="0062140B"/>
    <w:rsid w:val="00621430"/>
    <w:rsid w:val="00621482"/>
    <w:rsid w:val="0062194E"/>
    <w:rsid w:val="00621F5A"/>
    <w:rsid w:val="00623173"/>
    <w:rsid w:val="00623D90"/>
    <w:rsid w:val="00624567"/>
    <w:rsid w:val="00625110"/>
    <w:rsid w:val="00625802"/>
    <w:rsid w:val="0062772E"/>
    <w:rsid w:val="00627A5B"/>
    <w:rsid w:val="00627C72"/>
    <w:rsid w:val="0063014E"/>
    <w:rsid w:val="00630259"/>
    <w:rsid w:val="00630C1E"/>
    <w:rsid w:val="00631063"/>
    <w:rsid w:val="00632E41"/>
    <w:rsid w:val="00633C97"/>
    <w:rsid w:val="0063443E"/>
    <w:rsid w:val="0063489C"/>
    <w:rsid w:val="00634A98"/>
    <w:rsid w:val="00634B10"/>
    <w:rsid w:val="00634F3B"/>
    <w:rsid w:val="00635273"/>
    <w:rsid w:val="0063584A"/>
    <w:rsid w:val="00635A6C"/>
    <w:rsid w:val="00636210"/>
    <w:rsid w:val="006363DF"/>
    <w:rsid w:val="0063697A"/>
    <w:rsid w:val="0063721A"/>
    <w:rsid w:val="006372BD"/>
    <w:rsid w:val="00637327"/>
    <w:rsid w:val="00637603"/>
    <w:rsid w:val="00640536"/>
    <w:rsid w:val="006405BD"/>
    <w:rsid w:val="006409D7"/>
    <w:rsid w:val="00640C62"/>
    <w:rsid w:val="00640D61"/>
    <w:rsid w:val="00641C50"/>
    <w:rsid w:val="00641DE8"/>
    <w:rsid w:val="00642458"/>
    <w:rsid w:val="0064250D"/>
    <w:rsid w:val="006428B4"/>
    <w:rsid w:val="00642B9F"/>
    <w:rsid w:val="0064311B"/>
    <w:rsid w:val="006432AF"/>
    <w:rsid w:val="00643405"/>
    <w:rsid w:val="0064359E"/>
    <w:rsid w:val="00643A07"/>
    <w:rsid w:val="00643AD9"/>
    <w:rsid w:val="00643C3C"/>
    <w:rsid w:val="00643C67"/>
    <w:rsid w:val="00643D7C"/>
    <w:rsid w:val="006447A4"/>
    <w:rsid w:val="00644E62"/>
    <w:rsid w:val="00646D29"/>
    <w:rsid w:val="00646F4C"/>
    <w:rsid w:val="00647A08"/>
    <w:rsid w:val="00650627"/>
    <w:rsid w:val="006507A5"/>
    <w:rsid w:val="00650E72"/>
    <w:rsid w:val="00651754"/>
    <w:rsid w:val="00651A23"/>
    <w:rsid w:val="00651B7E"/>
    <w:rsid w:val="006522BE"/>
    <w:rsid w:val="0065286C"/>
    <w:rsid w:val="006532F6"/>
    <w:rsid w:val="0065354A"/>
    <w:rsid w:val="00653F23"/>
    <w:rsid w:val="00654973"/>
    <w:rsid w:val="00654C03"/>
    <w:rsid w:val="00655411"/>
    <w:rsid w:val="006559DC"/>
    <w:rsid w:val="0065601C"/>
    <w:rsid w:val="006565C0"/>
    <w:rsid w:val="006565DF"/>
    <w:rsid w:val="00656D1B"/>
    <w:rsid w:val="00657337"/>
    <w:rsid w:val="0065743A"/>
    <w:rsid w:val="00660562"/>
    <w:rsid w:val="0066098A"/>
    <w:rsid w:val="006619BC"/>
    <w:rsid w:val="00661B36"/>
    <w:rsid w:val="0066233F"/>
    <w:rsid w:val="0066259A"/>
    <w:rsid w:val="006626B9"/>
    <w:rsid w:val="0066296C"/>
    <w:rsid w:val="00662AE9"/>
    <w:rsid w:val="00662C23"/>
    <w:rsid w:val="00662C55"/>
    <w:rsid w:val="00662D5F"/>
    <w:rsid w:val="00663DCE"/>
    <w:rsid w:val="0066470D"/>
    <w:rsid w:val="006647E6"/>
    <w:rsid w:val="00664A6D"/>
    <w:rsid w:val="00664B70"/>
    <w:rsid w:val="00664B8A"/>
    <w:rsid w:val="00664CD1"/>
    <w:rsid w:val="0066503A"/>
    <w:rsid w:val="006653C8"/>
    <w:rsid w:val="006658C9"/>
    <w:rsid w:val="00665F61"/>
    <w:rsid w:val="00666D47"/>
    <w:rsid w:val="00667DE5"/>
    <w:rsid w:val="00670B3B"/>
    <w:rsid w:val="00670BAA"/>
    <w:rsid w:val="00670D56"/>
    <w:rsid w:val="00671168"/>
    <w:rsid w:val="00671794"/>
    <w:rsid w:val="00671C74"/>
    <w:rsid w:val="00673189"/>
    <w:rsid w:val="0067330F"/>
    <w:rsid w:val="00673ACC"/>
    <w:rsid w:val="00673BFD"/>
    <w:rsid w:val="006743F4"/>
    <w:rsid w:val="00674E01"/>
    <w:rsid w:val="00675726"/>
    <w:rsid w:val="0067581C"/>
    <w:rsid w:val="00675A50"/>
    <w:rsid w:val="00675CB8"/>
    <w:rsid w:val="00676040"/>
    <w:rsid w:val="006762AF"/>
    <w:rsid w:val="00676423"/>
    <w:rsid w:val="00677CAC"/>
    <w:rsid w:val="006806DD"/>
    <w:rsid w:val="00680C16"/>
    <w:rsid w:val="00681CF6"/>
    <w:rsid w:val="00682CE4"/>
    <w:rsid w:val="00682D36"/>
    <w:rsid w:val="00683F4D"/>
    <w:rsid w:val="006840C5"/>
    <w:rsid w:val="00684BDD"/>
    <w:rsid w:val="00685485"/>
    <w:rsid w:val="006855A2"/>
    <w:rsid w:val="00685CD5"/>
    <w:rsid w:val="00685EE1"/>
    <w:rsid w:val="00685EE3"/>
    <w:rsid w:val="00686432"/>
    <w:rsid w:val="00686D6A"/>
    <w:rsid w:val="00687C76"/>
    <w:rsid w:val="0069032B"/>
    <w:rsid w:val="0069051B"/>
    <w:rsid w:val="00690804"/>
    <w:rsid w:val="006910EB"/>
    <w:rsid w:val="006912B9"/>
    <w:rsid w:val="00691721"/>
    <w:rsid w:val="0069198A"/>
    <w:rsid w:val="00693861"/>
    <w:rsid w:val="00693B9B"/>
    <w:rsid w:val="00693C62"/>
    <w:rsid w:val="00694042"/>
    <w:rsid w:val="006942B1"/>
    <w:rsid w:val="0069481D"/>
    <w:rsid w:val="00694A9F"/>
    <w:rsid w:val="0069660E"/>
    <w:rsid w:val="006968F6"/>
    <w:rsid w:val="006969AB"/>
    <w:rsid w:val="00696C00"/>
    <w:rsid w:val="00696C8A"/>
    <w:rsid w:val="00696E98"/>
    <w:rsid w:val="00697096"/>
    <w:rsid w:val="006977A7"/>
    <w:rsid w:val="006A02BB"/>
    <w:rsid w:val="006A15D5"/>
    <w:rsid w:val="006A168E"/>
    <w:rsid w:val="006A1698"/>
    <w:rsid w:val="006A17C4"/>
    <w:rsid w:val="006A1E71"/>
    <w:rsid w:val="006A29B3"/>
    <w:rsid w:val="006A2DEB"/>
    <w:rsid w:val="006A3250"/>
    <w:rsid w:val="006A3C1E"/>
    <w:rsid w:val="006A3C31"/>
    <w:rsid w:val="006A48F2"/>
    <w:rsid w:val="006A4A38"/>
    <w:rsid w:val="006A5626"/>
    <w:rsid w:val="006A653F"/>
    <w:rsid w:val="006A6799"/>
    <w:rsid w:val="006A6E22"/>
    <w:rsid w:val="006A71D1"/>
    <w:rsid w:val="006A7C28"/>
    <w:rsid w:val="006A7E72"/>
    <w:rsid w:val="006B0982"/>
    <w:rsid w:val="006B192F"/>
    <w:rsid w:val="006B1A11"/>
    <w:rsid w:val="006B1EBD"/>
    <w:rsid w:val="006B2601"/>
    <w:rsid w:val="006B26DF"/>
    <w:rsid w:val="006B2BA4"/>
    <w:rsid w:val="006B2D57"/>
    <w:rsid w:val="006B2DA1"/>
    <w:rsid w:val="006B2DFF"/>
    <w:rsid w:val="006B340B"/>
    <w:rsid w:val="006B3639"/>
    <w:rsid w:val="006B3A16"/>
    <w:rsid w:val="006B3E2E"/>
    <w:rsid w:val="006B42F1"/>
    <w:rsid w:val="006B4E64"/>
    <w:rsid w:val="006B56AF"/>
    <w:rsid w:val="006B6211"/>
    <w:rsid w:val="006B6228"/>
    <w:rsid w:val="006B6369"/>
    <w:rsid w:val="006B6C1D"/>
    <w:rsid w:val="006B6DEE"/>
    <w:rsid w:val="006B7014"/>
    <w:rsid w:val="006B7DB5"/>
    <w:rsid w:val="006C0199"/>
    <w:rsid w:val="006C0D02"/>
    <w:rsid w:val="006C0E6A"/>
    <w:rsid w:val="006C1FD6"/>
    <w:rsid w:val="006C200D"/>
    <w:rsid w:val="006C28A8"/>
    <w:rsid w:val="006C33C9"/>
    <w:rsid w:val="006C42DF"/>
    <w:rsid w:val="006C43F5"/>
    <w:rsid w:val="006C44C0"/>
    <w:rsid w:val="006C4A53"/>
    <w:rsid w:val="006C4FB1"/>
    <w:rsid w:val="006C5AC8"/>
    <w:rsid w:val="006C689F"/>
    <w:rsid w:val="006C68C8"/>
    <w:rsid w:val="006C69DF"/>
    <w:rsid w:val="006C6AB0"/>
    <w:rsid w:val="006C6ADE"/>
    <w:rsid w:val="006C783D"/>
    <w:rsid w:val="006C7B97"/>
    <w:rsid w:val="006D0760"/>
    <w:rsid w:val="006D12F0"/>
    <w:rsid w:val="006D1993"/>
    <w:rsid w:val="006D1A78"/>
    <w:rsid w:val="006D2309"/>
    <w:rsid w:val="006D246C"/>
    <w:rsid w:val="006D2DA5"/>
    <w:rsid w:val="006D439A"/>
    <w:rsid w:val="006D58F5"/>
    <w:rsid w:val="006D5A3B"/>
    <w:rsid w:val="006D5D7F"/>
    <w:rsid w:val="006D5E92"/>
    <w:rsid w:val="006D67BF"/>
    <w:rsid w:val="006D7067"/>
    <w:rsid w:val="006D7068"/>
    <w:rsid w:val="006D71CA"/>
    <w:rsid w:val="006D7644"/>
    <w:rsid w:val="006D7802"/>
    <w:rsid w:val="006D7E56"/>
    <w:rsid w:val="006D7FE2"/>
    <w:rsid w:val="006E0909"/>
    <w:rsid w:val="006E0918"/>
    <w:rsid w:val="006E1333"/>
    <w:rsid w:val="006E1479"/>
    <w:rsid w:val="006E15A8"/>
    <w:rsid w:val="006E1E43"/>
    <w:rsid w:val="006E3263"/>
    <w:rsid w:val="006E32CB"/>
    <w:rsid w:val="006E4D81"/>
    <w:rsid w:val="006E567F"/>
    <w:rsid w:val="006E60E1"/>
    <w:rsid w:val="006E6516"/>
    <w:rsid w:val="006E6942"/>
    <w:rsid w:val="006E6B12"/>
    <w:rsid w:val="006E6F6B"/>
    <w:rsid w:val="006E7710"/>
    <w:rsid w:val="006E77C7"/>
    <w:rsid w:val="006E7EE8"/>
    <w:rsid w:val="006F0606"/>
    <w:rsid w:val="006F0C11"/>
    <w:rsid w:val="006F22EB"/>
    <w:rsid w:val="006F29A1"/>
    <w:rsid w:val="006F3084"/>
    <w:rsid w:val="006F34B3"/>
    <w:rsid w:val="006F397C"/>
    <w:rsid w:val="006F3DE4"/>
    <w:rsid w:val="006F3F0B"/>
    <w:rsid w:val="006F4C6A"/>
    <w:rsid w:val="006F4D98"/>
    <w:rsid w:val="006F52BC"/>
    <w:rsid w:val="006F71F4"/>
    <w:rsid w:val="006F7BDE"/>
    <w:rsid w:val="006F7E83"/>
    <w:rsid w:val="007001C5"/>
    <w:rsid w:val="007002E1"/>
    <w:rsid w:val="00700684"/>
    <w:rsid w:val="0070081F"/>
    <w:rsid w:val="00700CFD"/>
    <w:rsid w:val="00702080"/>
    <w:rsid w:val="00702985"/>
    <w:rsid w:val="0070299F"/>
    <w:rsid w:val="00702AEF"/>
    <w:rsid w:val="00702BAB"/>
    <w:rsid w:val="00703212"/>
    <w:rsid w:val="00704679"/>
    <w:rsid w:val="00705B20"/>
    <w:rsid w:val="00705D92"/>
    <w:rsid w:val="00705FC1"/>
    <w:rsid w:val="00706194"/>
    <w:rsid w:val="007067F0"/>
    <w:rsid w:val="00706E80"/>
    <w:rsid w:val="00707750"/>
    <w:rsid w:val="00707878"/>
    <w:rsid w:val="007079F2"/>
    <w:rsid w:val="00707CF7"/>
    <w:rsid w:val="00710DBF"/>
    <w:rsid w:val="007113CE"/>
    <w:rsid w:val="0071187B"/>
    <w:rsid w:val="007121CD"/>
    <w:rsid w:val="007122FE"/>
    <w:rsid w:val="00713461"/>
    <w:rsid w:val="0071396A"/>
    <w:rsid w:val="007139D1"/>
    <w:rsid w:val="00713FF1"/>
    <w:rsid w:val="0071435C"/>
    <w:rsid w:val="0071471F"/>
    <w:rsid w:val="00714997"/>
    <w:rsid w:val="00714D97"/>
    <w:rsid w:val="0071553B"/>
    <w:rsid w:val="00715C8D"/>
    <w:rsid w:val="00715D94"/>
    <w:rsid w:val="00715DEE"/>
    <w:rsid w:val="00716579"/>
    <w:rsid w:val="00716875"/>
    <w:rsid w:val="00716C2F"/>
    <w:rsid w:val="00716C76"/>
    <w:rsid w:val="00721878"/>
    <w:rsid w:val="007218C1"/>
    <w:rsid w:val="00722850"/>
    <w:rsid w:val="00723233"/>
    <w:rsid w:val="00724039"/>
    <w:rsid w:val="0072430B"/>
    <w:rsid w:val="0072499E"/>
    <w:rsid w:val="0072560F"/>
    <w:rsid w:val="00725836"/>
    <w:rsid w:val="00725ECA"/>
    <w:rsid w:val="007261F7"/>
    <w:rsid w:val="00727CA6"/>
    <w:rsid w:val="00727EBA"/>
    <w:rsid w:val="00727F92"/>
    <w:rsid w:val="00730098"/>
    <w:rsid w:val="0073032B"/>
    <w:rsid w:val="007305E6"/>
    <w:rsid w:val="007308C8"/>
    <w:rsid w:val="00730CC7"/>
    <w:rsid w:val="00730CDF"/>
    <w:rsid w:val="00731067"/>
    <w:rsid w:val="0073169D"/>
    <w:rsid w:val="00731AF2"/>
    <w:rsid w:val="007320BE"/>
    <w:rsid w:val="00732296"/>
    <w:rsid w:val="007322C6"/>
    <w:rsid w:val="00732B43"/>
    <w:rsid w:val="00733326"/>
    <w:rsid w:val="00733755"/>
    <w:rsid w:val="00733BB6"/>
    <w:rsid w:val="00733C39"/>
    <w:rsid w:val="007357F7"/>
    <w:rsid w:val="00735A52"/>
    <w:rsid w:val="00736336"/>
    <w:rsid w:val="00736677"/>
    <w:rsid w:val="0073675E"/>
    <w:rsid w:val="00736BCE"/>
    <w:rsid w:val="00737227"/>
    <w:rsid w:val="0073786C"/>
    <w:rsid w:val="00737B68"/>
    <w:rsid w:val="00740607"/>
    <w:rsid w:val="0074069C"/>
    <w:rsid w:val="00740867"/>
    <w:rsid w:val="00741978"/>
    <w:rsid w:val="00741B0A"/>
    <w:rsid w:val="00741B20"/>
    <w:rsid w:val="00742291"/>
    <w:rsid w:val="00742488"/>
    <w:rsid w:val="007429DA"/>
    <w:rsid w:val="00743069"/>
    <w:rsid w:val="007439A3"/>
    <w:rsid w:val="00743AE8"/>
    <w:rsid w:val="00743B50"/>
    <w:rsid w:val="00743F8D"/>
    <w:rsid w:val="00745423"/>
    <w:rsid w:val="00745CD0"/>
    <w:rsid w:val="00746515"/>
    <w:rsid w:val="00746A68"/>
    <w:rsid w:val="0074765E"/>
    <w:rsid w:val="00747728"/>
    <w:rsid w:val="007509F3"/>
    <w:rsid w:val="00750FB1"/>
    <w:rsid w:val="007513E9"/>
    <w:rsid w:val="00751650"/>
    <w:rsid w:val="00751D58"/>
    <w:rsid w:val="007532A3"/>
    <w:rsid w:val="007533A2"/>
    <w:rsid w:val="00753A6F"/>
    <w:rsid w:val="00753CD7"/>
    <w:rsid w:val="007540B2"/>
    <w:rsid w:val="00754343"/>
    <w:rsid w:val="00754482"/>
    <w:rsid w:val="00754624"/>
    <w:rsid w:val="00754874"/>
    <w:rsid w:val="007562B4"/>
    <w:rsid w:val="0075693A"/>
    <w:rsid w:val="00756964"/>
    <w:rsid w:val="00756DF2"/>
    <w:rsid w:val="007576DF"/>
    <w:rsid w:val="007578D6"/>
    <w:rsid w:val="0075790F"/>
    <w:rsid w:val="00757C89"/>
    <w:rsid w:val="007604A4"/>
    <w:rsid w:val="007605A8"/>
    <w:rsid w:val="00760DE8"/>
    <w:rsid w:val="00760E44"/>
    <w:rsid w:val="007618C0"/>
    <w:rsid w:val="00761A68"/>
    <w:rsid w:val="007625C3"/>
    <w:rsid w:val="00762714"/>
    <w:rsid w:val="00762967"/>
    <w:rsid w:val="00763977"/>
    <w:rsid w:val="0076496F"/>
    <w:rsid w:val="00764983"/>
    <w:rsid w:val="00764D20"/>
    <w:rsid w:val="00765350"/>
    <w:rsid w:val="00765559"/>
    <w:rsid w:val="00765B6D"/>
    <w:rsid w:val="00765BE4"/>
    <w:rsid w:val="00765ECC"/>
    <w:rsid w:val="00766E75"/>
    <w:rsid w:val="00766E8A"/>
    <w:rsid w:val="007672BA"/>
    <w:rsid w:val="00767397"/>
    <w:rsid w:val="007674A9"/>
    <w:rsid w:val="0076762C"/>
    <w:rsid w:val="00767630"/>
    <w:rsid w:val="00770385"/>
    <w:rsid w:val="00770653"/>
    <w:rsid w:val="007708C8"/>
    <w:rsid w:val="00770BD1"/>
    <w:rsid w:val="00771025"/>
    <w:rsid w:val="007711AF"/>
    <w:rsid w:val="00771435"/>
    <w:rsid w:val="00771518"/>
    <w:rsid w:val="00771C7D"/>
    <w:rsid w:val="0077216E"/>
    <w:rsid w:val="00772D76"/>
    <w:rsid w:val="0077307D"/>
    <w:rsid w:val="007731AC"/>
    <w:rsid w:val="00773A5C"/>
    <w:rsid w:val="0077438E"/>
    <w:rsid w:val="007745C8"/>
    <w:rsid w:val="00775BC1"/>
    <w:rsid w:val="00776342"/>
    <w:rsid w:val="007766D2"/>
    <w:rsid w:val="00776AF7"/>
    <w:rsid w:val="00776C76"/>
    <w:rsid w:val="00780187"/>
    <w:rsid w:val="00780229"/>
    <w:rsid w:val="00780816"/>
    <w:rsid w:val="007813C4"/>
    <w:rsid w:val="0078205D"/>
    <w:rsid w:val="00782E49"/>
    <w:rsid w:val="007830CA"/>
    <w:rsid w:val="00783116"/>
    <w:rsid w:val="00783505"/>
    <w:rsid w:val="00783538"/>
    <w:rsid w:val="00783BD5"/>
    <w:rsid w:val="007850B2"/>
    <w:rsid w:val="00785875"/>
    <w:rsid w:val="00785A01"/>
    <w:rsid w:val="00785AAA"/>
    <w:rsid w:val="00785BA2"/>
    <w:rsid w:val="00785C1E"/>
    <w:rsid w:val="007860D2"/>
    <w:rsid w:val="0078636C"/>
    <w:rsid w:val="00786FFA"/>
    <w:rsid w:val="00787C66"/>
    <w:rsid w:val="00790729"/>
    <w:rsid w:val="00790AE3"/>
    <w:rsid w:val="00790D5B"/>
    <w:rsid w:val="00790F8E"/>
    <w:rsid w:val="0079113C"/>
    <w:rsid w:val="00791C79"/>
    <w:rsid w:val="0079327A"/>
    <w:rsid w:val="0079337C"/>
    <w:rsid w:val="00793C7D"/>
    <w:rsid w:val="00794430"/>
    <w:rsid w:val="0079468E"/>
    <w:rsid w:val="007952D1"/>
    <w:rsid w:val="007963AB"/>
    <w:rsid w:val="007964EA"/>
    <w:rsid w:val="00796571"/>
    <w:rsid w:val="007976AD"/>
    <w:rsid w:val="007A00BF"/>
    <w:rsid w:val="007A0314"/>
    <w:rsid w:val="007A0340"/>
    <w:rsid w:val="007A0F27"/>
    <w:rsid w:val="007A1156"/>
    <w:rsid w:val="007A159E"/>
    <w:rsid w:val="007A1DD9"/>
    <w:rsid w:val="007A1E2B"/>
    <w:rsid w:val="007A2163"/>
    <w:rsid w:val="007A21C5"/>
    <w:rsid w:val="007A2B87"/>
    <w:rsid w:val="007A3209"/>
    <w:rsid w:val="007A326D"/>
    <w:rsid w:val="007A42E5"/>
    <w:rsid w:val="007A483B"/>
    <w:rsid w:val="007A48DD"/>
    <w:rsid w:val="007A4F63"/>
    <w:rsid w:val="007A5F6F"/>
    <w:rsid w:val="007A69E7"/>
    <w:rsid w:val="007A6F0A"/>
    <w:rsid w:val="007A6FD4"/>
    <w:rsid w:val="007A7BD5"/>
    <w:rsid w:val="007A7C08"/>
    <w:rsid w:val="007A7D86"/>
    <w:rsid w:val="007B0178"/>
    <w:rsid w:val="007B1095"/>
    <w:rsid w:val="007B17E1"/>
    <w:rsid w:val="007B185F"/>
    <w:rsid w:val="007B189A"/>
    <w:rsid w:val="007B1D79"/>
    <w:rsid w:val="007B1FD4"/>
    <w:rsid w:val="007B2066"/>
    <w:rsid w:val="007B28E7"/>
    <w:rsid w:val="007B3342"/>
    <w:rsid w:val="007B3CA8"/>
    <w:rsid w:val="007B3F39"/>
    <w:rsid w:val="007B4208"/>
    <w:rsid w:val="007B429E"/>
    <w:rsid w:val="007B4613"/>
    <w:rsid w:val="007B4B41"/>
    <w:rsid w:val="007B4D5C"/>
    <w:rsid w:val="007B5051"/>
    <w:rsid w:val="007B539E"/>
    <w:rsid w:val="007B5728"/>
    <w:rsid w:val="007B5AD6"/>
    <w:rsid w:val="007B7877"/>
    <w:rsid w:val="007B7AD4"/>
    <w:rsid w:val="007C052B"/>
    <w:rsid w:val="007C0AE3"/>
    <w:rsid w:val="007C11D7"/>
    <w:rsid w:val="007C183A"/>
    <w:rsid w:val="007C19DA"/>
    <w:rsid w:val="007C1BDB"/>
    <w:rsid w:val="007C20C3"/>
    <w:rsid w:val="007C23E7"/>
    <w:rsid w:val="007C333B"/>
    <w:rsid w:val="007C3405"/>
    <w:rsid w:val="007C3733"/>
    <w:rsid w:val="007C3B95"/>
    <w:rsid w:val="007C41AB"/>
    <w:rsid w:val="007C4791"/>
    <w:rsid w:val="007C4CDE"/>
    <w:rsid w:val="007C565A"/>
    <w:rsid w:val="007C5C8A"/>
    <w:rsid w:val="007C63FB"/>
    <w:rsid w:val="007C6A0F"/>
    <w:rsid w:val="007C7102"/>
    <w:rsid w:val="007C7B7A"/>
    <w:rsid w:val="007D0B33"/>
    <w:rsid w:val="007D0D24"/>
    <w:rsid w:val="007D1751"/>
    <w:rsid w:val="007D2787"/>
    <w:rsid w:val="007D27BB"/>
    <w:rsid w:val="007D2A3A"/>
    <w:rsid w:val="007D2B4E"/>
    <w:rsid w:val="007D2BC9"/>
    <w:rsid w:val="007D3A16"/>
    <w:rsid w:val="007D4668"/>
    <w:rsid w:val="007D4CDE"/>
    <w:rsid w:val="007D4EFF"/>
    <w:rsid w:val="007D577B"/>
    <w:rsid w:val="007D59C2"/>
    <w:rsid w:val="007D6705"/>
    <w:rsid w:val="007D6A56"/>
    <w:rsid w:val="007D6CFE"/>
    <w:rsid w:val="007D7680"/>
    <w:rsid w:val="007E01C6"/>
    <w:rsid w:val="007E08D3"/>
    <w:rsid w:val="007E096C"/>
    <w:rsid w:val="007E0BD8"/>
    <w:rsid w:val="007E0E45"/>
    <w:rsid w:val="007E1406"/>
    <w:rsid w:val="007E1AE3"/>
    <w:rsid w:val="007E1D94"/>
    <w:rsid w:val="007E22C4"/>
    <w:rsid w:val="007E249D"/>
    <w:rsid w:val="007E26C7"/>
    <w:rsid w:val="007E28CD"/>
    <w:rsid w:val="007E398C"/>
    <w:rsid w:val="007E4BD0"/>
    <w:rsid w:val="007E5228"/>
    <w:rsid w:val="007E551C"/>
    <w:rsid w:val="007E5DD6"/>
    <w:rsid w:val="007E5F91"/>
    <w:rsid w:val="007E60D1"/>
    <w:rsid w:val="007E668D"/>
    <w:rsid w:val="007E6BD5"/>
    <w:rsid w:val="007E761C"/>
    <w:rsid w:val="007E7869"/>
    <w:rsid w:val="007E7BB3"/>
    <w:rsid w:val="007F0204"/>
    <w:rsid w:val="007F0470"/>
    <w:rsid w:val="007F05F1"/>
    <w:rsid w:val="007F0CAD"/>
    <w:rsid w:val="007F0CFE"/>
    <w:rsid w:val="007F1055"/>
    <w:rsid w:val="007F1666"/>
    <w:rsid w:val="007F1F5D"/>
    <w:rsid w:val="007F1FF5"/>
    <w:rsid w:val="007F2D2C"/>
    <w:rsid w:val="007F30C4"/>
    <w:rsid w:val="007F374D"/>
    <w:rsid w:val="007F376A"/>
    <w:rsid w:val="007F3D4E"/>
    <w:rsid w:val="007F4632"/>
    <w:rsid w:val="007F4ED7"/>
    <w:rsid w:val="007F5720"/>
    <w:rsid w:val="007F5D84"/>
    <w:rsid w:val="007F5EE0"/>
    <w:rsid w:val="007F64F2"/>
    <w:rsid w:val="007F654A"/>
    <w:rsid w:val="007F70BD"/>
    <w:rsid w:val="00800786"/>
    <w:rsid w:val="00800B6C"/>
    <w:rsid w:val="0080124F"/>
    <w:rsid w:val="00801516"/>
    <w:rsid w:val="008016A2"/>
    <w:rsid w:val="00801E00"/>
    <w:rsid w:val="00801EAB"/>
    <w:rsid w:val="00803456"/>
    <w:rsid w:val="00803937"/>
    <w:rsid w:val="00803F84"/>
    <w:rsid w:val="00804266"/>
    <w:rsid w:val="008043D5"/>
    <w:rsid w:val="008045DD"/>
    <w:rsid w:val="00804995"/>
    <w:rsid w:val="00804D31"/>
    <w:rsid w:val="0080578C"/>
    <w:rsid w:val="008058E3"/>
    <w:rsid w:val="00805B1D"/>
    <w:rsid w:val="00807094"/>
    <w:rsid w:val="00807911"/>
    <w:rsid w:val="00807A06"/>
    <w:rsid w:val="00807F14"/>
    <w:rsid w:val="00810FB5"/>
    <w:rsid w:val="00811377"/>
    <w:rsid w:val="008116F3"/>
    <w:rsid w:val="00811AB0"/>
    <w:rsid w:val="0081240E"/>
    <w:rsid w:val="00813496"/>
    <w:rsid w:val="008140E7"/>
    <w:rsid w:val="00814EE3"/>
    <w:rsid w:val="008153CD"/>
    <w:rsid w:val="0081544F"/>
    <w:rsid w:val="008159EA"/>
    <w:rsid w:val="00815AAD"/>
    <w:rsid w:val="00815E2A"/>
    <w:rsid w:val="00815F8E"/>
    <w:rsid w:val="00816CB4"/>
    <w:rsid w:val="00820104"/>
    <w:rsid w:val="00820366"/>
    <w:rsid w:val="0082062B"/>
    <w:rsid w:val="00820C74"/>
    <w:rsid w:val="00820FB1"/>
    <w:rsid w:val="008213E0"/>
    <w:rsid w:val="008217EA"/>
    <w:rsid w:val="008219AC"/>
    <w:rsid w:val="00821AB1"/>
    <w:rsid w:val="00821D8E"/>
    <w:rsid w:val="0082227F"/>
    <w:rsid w:val="0082257F"/>
    <w:rsid w:val="008228B7"/>
    <w:rsid w:val="00822B71"/>
    <w:rsid w:val="00822D63"/>
    <w:rsid w:val="0082323D"/>
    <w:rsid w:val="008234FE"/>
    <w:rsid w:val="00824104"/>
    <w:rsid w:val="008247A9"/>
    <w:rsid w:val="00824E54"/>
    <w:rsid w:val="008250D1"/>
    <w:rsid w:val="00825364"/>
    <w:rsid w:val="00825990"/>
    <w:rsid w:val="00826689"/>
    <w:rsid w:val="0082753C"/>
    <w:rsid w:val="00827969"/>
    <w:rsid w:val="00827A10"/>
    <w:rsid w:val="00830171"/>
    <w:rsid w:val="0083033C"/>
    <w:rsid w:val="00831013"/>
    <w:rsid w:val="00832AF3"/>
    <w:rsid w:val="00833180"/>
    <w:rsid w:val="008333B1"/>
    <w:rsid w:val="00833FB3"/>
    <w:rsid w:val="0083445C"/>
    <w:rsid w:val="008348F6"/>
    <w:rsid w:val="00834AB0"/>
    <w:rsid w:val="00835270"/>
    <w:rsid w:val="00835781"/>
    <w:rsid w:val="00835DDF"/>
    <w:rsid w:val="00836038"/>
    <w:rsid w:val="0083646C"/>
    <w:rsid w:val="008366F0"/>
    <w:rsid w:val="008369FA"/>
    <w:rsid w:val="00837FA7"/>
    <w:rsid w:val="0084059B"/>
    <w:rsid w:val="008417F8"/>
    <w:rsid w:val="008418AD"/>
    <w:rsid w:val="00841B49"/>
    <w:rsid w:val="00841CE9"/>
    <w:rsid w:val="00842160"/>
    <w:rsid w:val="008425E2"/>
    <w:rsid w:val="0084303D"/>
    <w:rsid w:val="0084326B"/>
    <w:rsid w:val="00843408"/>
    <w:rsid w:val="0084375C"/>
    <w:rsid w:val="00844730"/>
    <w:rsid w:val="008453EA"/>
    <w:rsid w:val="00845594"/>
    <w:rsid w:val="00845853"/>
    <w:rsid w:val="008466BE"/>
    <w:rsid w:val="008474A2"/>
    <w:rsid w:val="00847501"/>
    <w:rsid w:val="00847AD7"/>
    <w:rsid w:val="00847E9F"/>
    <w:rsid w:val="00847EF4"/>
    <w:rsid w:val="00850511"/>
    <w:rsid w:val="00850612"/>
    <w:rsid w:val="00850615"/>
    <w:rsid w:val="008515E9"/>
    <w:rsid w:val="00851892"/>
    <w:rsid w:val="00852286"/>
    <w:rsid w:val="008525E3"/>
    <w:rsid w:val="008537BB"/>
    <w:rsid w:val="00854264"/>
    <w:rsid w:val="008542C6"/>
    <w:rsid w:val="008546A8"/>
    <w:rsid w:val="008547E9"/>
    <w:rsid w:val="00854F32"/>
    <w:rsid w:val="00854F40"/>
    <w:rsid w:val="00857274"/>
    <w:rsid w:val="0085765B"/>
    <w:rsid w:val="00857685"/>
    <w:rsid w:val="00857BA1"/>
    <w:rsid w:val="00857DCC"/>
    <w:rsid w:val="00860112"/>
    <w:rsid w:val="008603F9"/>
    <w:rsid w:val="00860AFF"/>
    <w:rsid w:val="00861AF6"/>
    <w:rsid w:val="00861B04"/>
    <w:rsid w:val="0086210A"/>
    <w:rsid w:val="00862195"/>
    <w:rsid w:val="00863378"/>
    <w:rsid w:val="008637BA"/>
    <w:rsid w:val="0086521B"/>
    <w:rsid w:val="008656E8"/>
    <w:rsid w:val="008668D2"/>
    <w:rsid w:val="0086690C"/>
    <w:rsid w:val="008670FA"/>
    <w:rsid w:val="00867208"/>
    <w:rsid w:val="008674C4"/>
    <w:rsid w:val="008676A1"/>
    <w:rsid w:val="00867B00"/>
    <w:rsid w:val="00867FB4"/>
    <w:rsid w:val="008728D9"/>
    <w:rsid w:val="00873447"/>
    <w:rsid w:val="008735A0"/>
    <w:rsid w:val="008736F9"/>
    <w:rsid w:val="00873915"/>
    <w:rsid w:val="00873E68"/>
    <w:rsid w:val="0087406C"/>
    <w:rsid w:val="00874306"/>
    <w:rsid w:val="0087487A"/>
    <w:rsid w:val="0087490D"/>
    <w:rsid w:val="008749EF"/>
    <w:rsid w:val="00874BE0"/>
    <w:rsid w:val="008752AA"/>
    <w:rsid w:val="00875341"/>
    <w:rsid w:val="0087544C"/>
    <w:rsid w:val="0087558A"/>
    <w:rsid w:val="00876E60"/>
    <w:rsid w:val="00876FB3"/>
    <w:rsid w:val="00877335"/>
    <w:rsid w:val="008774A8"/>
    <w:rsid w:val="00877832"/>
    <w:rsid w:val="008778C3"/>
    <w:rsid w:val="00877AC4"/>
    <w:rsid w:val="00877D10"/>
    <w:rsid w:val="00877DD1"/>
    <w:rsid w:val="008803F2"/>
    <w:rsid w:val="0088169C"/>
    <w:rsid w:val="00881902"/>
    <w:rsid w:val="00881B06"/>
    <w:rsid w:val="00881CAD"/>
    <w:rsid w:val="00881EA9"/>
    <w:rsid w:val="00882741"/>
    <w:rsid w:val="008827E9"/>
    <w:rsid w:val="00883746"/>
    <w:rsid w:val="00883790"/>
    <w:rsid w:val="00883C49"/>
    <w:rsid w:val="00884A75"/>
    <w:rsid w:val="00884DD4"/>
    <w:rsid w:val="00885967"/>
    <w:rsid w:val="00886679"/>
    <w:rsid w:val="008870CB"/>
    <w:rsid w:val="0088774C"/>
    <w:rsid w:val="008902CB"/>
    <w:rsid w:val="00890AC1"/>
    <w:rsid w:val="00891148"/>
    <w:rsid w:val="008913D3"/>
    <w:rsid w:val="0089150A"/>
    <w:rsid w:val="00891B13"/>
    <w:rsid w:val="00891D1A"/>
    <w:rsid w:val="00892BCC"/>
    <w:rsid w:val="00892E35"/>
    <w:rsid w:val="008936F8"/>
    <w:rsid w:val="00893A78"/>
    <w:rsid w:val="00893F15"/>
    <w:rsid w:val="008950A0"/>
    <w:rsid w:val="00895596"/>
    <w:rsid w:val="00895621"/>
    <w:rsid w:val="0089584C"/>
    <w:rsid w:val="00895B67"/>
    <w:rsid w:val="00897F33"/>
    <w:rsid w:val="008A02FC"/>
    <w:rsid w:val="008A045B"/>
    <w:rsid w:val="008A0CF9"/>
    <w:rsid w:val="008A0D36"/>
    <w:rsid w:val="008A0E05"/>
    <w:rsid w:val="008A1281"/>
    <w:rsid w:val="008A1D78"/>
    <w:rsid w:val="008A21DB"/>
    <w:rsid w:val="008A2539"/>
    <w:rsid w:val="008A28A1"/>
    <w:rsid w:val="008A2D40"/>
    <w:rsid w:val="008A2FB3"/>
    <w:rsid w:val="008A3609"/>
    <w:rsid w:val="008A4865"/>
    <w:rsid w:val="008A53B4"/>
    <w:rsid w:val="008A54AC"/>
    <w:rsid w:val="008A591B"/>
    <w:rsid w:val="008A59A4"/>
    <w:rsid w:val="008A5AAC"/>
    <w:rsid w:val="008A60F9"/>
    <w:rsid w:val="008A6272"/>
    <w:rsid w:val="008A661D"/>
    <w:rsid w:val="008A69A7"/>
    <w:rsid w:val="008A6BB5"/>
    <w:rsid w:val="008A6E72"/>
    <w:rsid w:val="008A7853"/>
    <w:rsid w:val="008A78FE"/>
    <w:rsid w:val="008B01BF"/>
    <w:rsid w:val="008B06F1"/>
    <w:rsid w:val="008B0E5F"/>
    <w:rsid w:val="008B12F7"/>
    <w:rsid w:val="008B1A07"/>
    <w:rsid w:val="008B218D"/>
    <w:rsid w:val="008B2F41"/>
    <w:rsid w:val="008B392F"/>
    <w:rsid w:val="008B465D"/>
    <w:rsid w:val="008B4EAE"/>
    <w:rsid w:val="008B543C"/>
    <w:rsid w:val="008B5668"/>
    <w:rsid w:val="008B57B6"/>
    <w:rsid w:val="008B6C42"/>
    <w:rsid w:val="008B6E7F"/>
    <w:rsid w:val="008B6EC9"/>
    <w:rsid w:val="008B712D"/>
    <w:rsid w:val="008B7305"/>
    <w:rsid w:val="008B766D"/>
    <w:rsid w:val="008B7ADB"/>
    <w:rsid w:val="008B7BF4"/>
    <w:rsid w:val="008B7DDB"/>
    <w:rsid w:val="008C093F"/>
    <w:rsid w:val="008C1310"/>
    <w:rsid w:val="008C1966"/>
    <w:rsid w:val="008C1E52"/>
    <w:rsid w:val="008C1E64"/>
    <w:rsid w:val="008C1F66"/>
    <w:rsid w:val="008C2783"/>
    <w:rsid w:val="008C2915"/>
    <w:rsid w:val="008C2C10"/>
    <w:rsid w:val="008C3B0B"/>
    <w:rsid w:val="008C3C44"/>
    <w:rsid w:val="008C3C87"/>
    <w:rsid w:val="008C42F2"/>
    <w:rsid w:val="008C4C18"/>
    <w:rsid w:val="008C538D"/>
    <w:rsid w:val="008C5F40"/>
    <w:rsid w:val="008C69FD"/>
    <w:rsid w:val="008C6A33"/>
    <w:rsid w:val="008C6CBE"/>
    <w:rsid w:val="008C6D2F"/>
    <w:rsid w:val="008C7000"/>
    <w:rsid w:val="008C7074"/>
    <w:rsid w:val="008C72BC"/>
    <w:rsid w:val="008C7439"/>
    <w:rsid w:val="008C76DE"/>
    <w:rsid w:val="008C7F2A"/>
    <w:rsid w:val="008D0043"/>
    <w:rsid w:val="008D00D5"/>
    <w:rsid w:val="008D0815"/>
    <w:rsid w:val="008D0823"/>
    <w:rsid w:val="008D0A92"/>
    <w:rsid w:val="008D0C5D"/>
    <w:rsid w:val="008D11C1"/>
    <w:rsid w:val="008D13E8"/>
    <w:rsid w:val="008D14D0"/>
    <w:rsid w:val="008D1653"/>
    <w:rsid w:val="008D1C5B"/>
    <w:rsid w:val="008D1DA1"/>
    <w:rsid w:val="008D28F8"/>
    <w:rsid w:val="008D31E6"/>
    <w:rsid w:val="008D3618"/>
    <w:rsid w:val="008D403C"/>
    <w:rsid w:val="008D4069"/>
    <w:rsid w:val="008D4AE0"/>
    <w:rsid w:val="008D4FE1"/>
    <w:rsid w:val="008D519B"/>
    <w:rsid w:val="008D58DB"/>
    <w:rsid w:val="008D5967"/>
    <w:rsid w:val="008D5FA5"/>
    <w:rsid w:val="008D6172"/>
    <w:rsid w:val="008D665D"/>
    <w:rsid w:val="008D6963"/>
    <w:rsid w:val="008D6AAD"/>
    <w:rsid w:val="008D74DE"/>
    <w:rsid w:val="008D7BB8"/>
    <w:rsid w:val="008E0024"/>
    <w:rsid w:val="008E08D9"/>
    <w:rsid w:val="008E0952"/>
    <w:rsid w:val="008E0E54"/>
    <w:rsid w:val="008E101F"/>
    <w:rsid w:val="008E1474"/>
    <w:rsid w:val="008E17C0"/>
    <w:rsid w:val="008E2049"/>
    <w:rsid w:val="008E3675"/>
    <w:rsid w:val="008E3686"/>
    <w:rsid w:val="008E3E91"/>
    <w:rsid w:val="008E5FC0"/>
    <w:rsid w:val="008E60FC"/>
    <w:rsid w:val="008E630C"/>
    <w:rsid w:val="008E66A4"/>
    <w:rsid w:val="008E6DD0"/>
    <w:rsid w:val="008E7408"/>
    <w:rsid w:val="008E7AE6"/>
    <w:rsid w:val="008E7C5D"/>
    <w:rsid w:val="008F02AB"/>
    <w:rsid w:val="008F118E"/>
    <w:rsid w:val="008F1228"/>
    <w:rsid w:val="008F14DA"/>
    <w:rsid w:val="008F2F86"/>
    <w:rsid w:val="008F4331"/>
    <w:rsid w:val="008F49E1"/>
    <w:rsid w:val="008F4C78"/>
    <w:rsid w:val="008F522F"/>
    <w:rsid w:val="008F5568"/>
    <w:rsid w:val="008F5A5D"/>
    <w:rsid w:val="008F5B5F"/>
    <w:rsid w:val="008F5E88"/>
    <w:rsid w:val="008F5FA8"/>
    <w:rsid w:val="008F6FCF"/>
    <w:rsid w:val="008F7581"/>
    <w:rsid w:val="008F7737"/>
    <w:rsid w:val="008F7A0D"/>
    <w:rsid w:val="009005BC"/>
    <w:rsid w:val="00900740"/>
    <w:rsid w:val="009009A3"/>
    <w:rsid w:val="00900A90"/>
    <w:rsid w:val="0090108B"/>
    <w:rsid w:val="00901374"/>
    <w:rsid w:val="00901DAA"/>
    <w:rsid w:val="00902073"/>
    <w:rsid w:val="00902459"/>
    <w:rsid w:val="00902618"/>
    <w:rsid w:val="0090271B"/>
    <w:rsid w:val="00902925"/>
    <w:rsid w:val="00902BD5"/>
    <w:rsid w:val="009033FD"/>
    <w:rsid w:val="009038A4"/>
    <w:rsid w:val="009039C4"/>
    <w:rsid w:val="00903A63"/>
    <w:rsid w:val="00903EA6"/>
    <w:rsid w:val="00904363"/>
    <w:rsid w:val="00904B21"/>
    <w:rsid w:val="00904C49"/>
    <w:rsid w:val="009059F3"/>
    <w:rsid w:val="00905D95"/>
    <w:rsid w:val="009064F1"/>
    <w:rsid w:val="00907427"/>
    <w:rsid w:val="009078E7"/>
    <w:rsid w:val="00907A64"/>
    <w:rsid w:val="00907F40"/>
    <w:rsid w:val="00910725"/>
    <w:rsid w:val="009109BD"/>
    <w:rsid w:val="00910A3D"/>
    <w:rsid w:val="00910B1E"/>
    <w:rsid w:val="009110CF"/>
    <w:rsid w:val="009113C7"/>
    <w:rsid w:val="00911532"/>
    <w:rsid w:val="0091155F"/>
    <w:rsid w:val="00911980"/>
    <w:rsid w:val="009120EC"/>
    <w:rsid w:val="0091299A"/>
    <w:rsid w:val="00912D1C"/>
    <w:rsid w:val="009134C1"/>
    <w:rsid w:val="0091367C"/>
    <w:rsid w:val="00913B8D"/>
    <w:rsid w:val="0091402A"/>
    <w:rsid w:val="009142DA"/>
    <w:rsid w:val="009151B3"/>
    <w:rsid w:val="009154EB"/>
    <w:rsid w:val="0091558A"/>
    <w:rsid w:val="00915837"/>
    <w:rsid w:val="00915F0F"/>
    <w:rsid w:val="0091643A"/>
    <w:rsid w:val="0091756B"/>
    <w:rsid w:val="00917B89"/>
    <w:rsid w:val="00917EC5"/>
    <w:rsid w:val="00917FEF"/>
    <w:rsid w:val="009210B7"/>
    <w:rsid w:val="00921A00"/>
    <w:rsid w:val="00921BFF"/>
    <w:rsid w:val="00922502"/>
    <w:rsid w:val="0092299C"/>
    <w:rsid w:val="00922CD9"/>
    <w:rsid w:val="009231EE"/>
    <w:rsid w:val="00923E89"/>
    <w:rsid w:val="0092414E"/>
    <w:rsid w:val="00924A2C"/>
    <w:rsid w:val="009255EC"/>
    <w:rsid w:val="009256CF"/>
    <w:rsid w:val="00925D2E"/>
    <w:rsid w:val="00925E82"/>
    <w:rsid w:val="00925EB8"/>
    <w:rsid w:val="00926568"/>
    <w:rsid w:val="009266BD"/>
    <w:rsid w:val="00927797"/>
    <w:rsid w:val="0092781A"/>
    <w:rsid w:val="00927BBB"/>
    <w:rsid w:val="0093039A"/>
    <w:rsid w:val="0093062F"/>
    <w:rsid w:val="009309B2"/>
    <w:rsid w:val="00930F3F"/>
    <w:rsid w:val="009312B5"/>
    <w:rsid w:val="009314C4"/>
    <w:rsid w:val="0093180D"/>
    <w:rsid w:val="009322D7"/>
    <w:rsid w:val="0093261D"/>
    <w:rsid w:val="0093280E"/>
    <w:rsid w:val="0093299B"/>
    <w:rsid w:val="00932F12"/>
    <w:rsid w:val="00933533"/>
    <w:rsid w:val="0093376A"/>
    <w:rsid w:val="00933985"/>
    <w:rsid w:val="00933B65"/>
    <w:rsid w:val="00933CFE"/>
    <w:rsid w:val="00934D75"/>
    <w:rsid w:val="00935394"/>
    <w:rsid w:val="00935F29"/>
    <w:rsid w:val="009362E9"/>
    <w:rsid w:val="009364EC"/>
    <w:rsid w:val="00936640"/>
    <w:rsid w:val="00936965"/>
    <w:rsid w:val="00936990"/>
    <w:rsid w:val="00937195"/>
    <w:rsid w:val="009402CC"/>
    <w:rsid w:val="00940DC5"/>
    <w:rsid w:val="00941023"/>
    <w:rsid w:val="0094135E"/>
    <w:rsid w:val="0094151E"/>
    <w:rsid w:val="009415A1"/>
    <w:rsid w:val="00941734"/>
    <w:rsid w:val="00941AA8"/>
    <w:rsid w:val="00941ACA"/>
    <w:rsid w:val="00942C8A"/>
    <w:rsid w:val="00943222"/>
    <w:rsid w:val="00943943"/>
    <w:rsid w:val="00943CC8"/>
    <w:rsid w:val="0094430D"/>
    <w:rsid w:val="009443E2"/>
    <w:rsid w:val="00944567"/>
    <w:rsid w:val="009445CC"/>
    <w:rsid w:val="009449BC"/>
    <w:rsid w:val="00944EDF"/>
    <w:rsid w:val="00945329"/>
    <w:rsid w:val="0094578D"/>
    <w:rsid w:val="00946152"/>
    <w:rsid w:val="0094695D"/>
    <w:rsid w:val="00946A13"/>
    <w:rsid w:val="00946ED0"/>
    <w:rsid w:val="00947802"/>
    <w:rsid w:val="00950A9C"/>
    <w:rsid w:val="00950FC2"/>
    <w:rsid w:val="00951398"/>
    <w:rsid w:val="00951D02"/>
    <w:rsid w:val="009520AD"/>
    <w:rsid w:val="00952468"/>
    <w:rsid w:val="00953ABA"/>
    <w:rsid w:val="009543AA"/>
    <w:rsid w:val="009544B1"/>
    <w:rsid w:val="00954793"/>
    <w:rsid w:val="00956387"/>
    <w:rsid w:val="00956683"/>
    <w:rsid w:val="00957357"/>
    <w:rsid w:val="00957630"/>
    <w:rsid w:val="009600E1"/>
    <w:rsid w:val="0096044E"/>
    <w:rsid w:val="009605C6"/>
    <w:rsid w:val="009606F3"/>
    <w:rsid w:val="00960932"/>
    <w:rsid w:val="009619E1"/>
    <w:rsid w:val="00961AE3"/>
    <w:rsid w:val="00961B44"/>
    <w:rsid w:val="00962D87"/>
    <w:rsid w:val="00962DEF"/>
    <w:rsid w:val="00962FE6"/>
    <w:rsid w:val="0096369D"/>
    <w:rsid w:val="0096409B"/>
    <w:rsid w:val="00964540"/>
    <w:rsid w:val="009646EF"/>
    <w:rsid w:val="0096474E"/>
    <w:rsid w:val="0096490F"/>
    <w:rsid w:val="00964B8C"/>
    <w:rsid w:val="00965386"/>
    <w:rsid w:val="00965735"/>
    <w:rsid w:val="00965B3C"/>
    <w:rsid w:val="009662B9"/>
    <w:rsid w:val="00966C9D"/>
    <w:rsid w:val="00966F3A"/>
    <w:rsid w:val="00967175"/>
    <w:rsid w:val="00967A04"/>
    <w:rsid w:val="00967ABD"/>
    <w:rsid w:val="00967F6B"/>
    <w:rsid w:val="00970DE1"/>
    <w:rsid w:val="009711BA"/>
    <w:rsid w:val="009713A4"/>
    <w:rsid w:val="00971E98"/>
    <w:rsid w:val="0097212F"/>
    <w:rsid w:val="009725E0"/>
    <w:rsid w:val="009726DB"/>
    <w:rsid w:val="00972958"/>
    <w:rsid w:val="00972AB2"/>
    <w:rsid w:val="00972B3E"/>
    <w:rsid w:val="009732E5"/>
    <w:rsid w:val="00973A20"/>
    <w:rsid w:val="00973C0A"/>
    <w:rsid w:val="00974FA1"/>
    <w:rsid w:val="00975491"/>
    <w:rsid w:val="009755FE"/>
    <w:rsid w:val="009759B2"/>
    <w:rsid w:val="00975A44"/>
    <w:rsid w:val="00975B75"/>
    <w:rsid w:val="00976C6A"/>
    <w:rsid w:val="00976F65"/>
    <w:rsid w:val="009775EB"/>
    <w:rsid w:val="00977811"/>
    <w:rsid w:val="00977988"/>
    <w:rsid w:val="009802B0"/>
    <w:rsid w:val="0098050E"/>
    <w:rsid w:val="009805C0"/>
    <w:rsid w:val="009810C1"/>
    <w:rsid w:val="00981179"/>
    <w:rsid w:val="009815B1"/>
    <w:rsid w:val="009817CC"/>
    <w:rsid w:val="009818EA"/>
    <w:rsid w:val="00982134"/>
    <w:rsid w:val="0098237E"/>
    <w:rsid w:val="00982762"/>
    <w:rsid w:val="00983025"/>
    <w:rsid w:val="009830CB"/>
    <w:rsid w:val="0098358C"/>
    <w:rsid w:val="009839ED"/>
    <w:rsid w:val="00983A13"/>
    <w:rsid w:val="00984347"/>
    <w:rsid w:val="009843BB"/>
    <w:rsid w:val="009844C7"/>
    <w:rsid w:val="0098513D"/>
    <w:rsid w:val="009854DF"/>
    <w:rsid w:val="009859CA"/>
    <w:rsid w:val="00985C82"/>
    <w:rsid w:val="00986EC5"/>
    <w:rsid w:val="00986FE9"/>
    <w:rsid w:val="00987DD8"/>
    <w:rsid w:val="00987E30"/>
    <w:rsid w:val="00990365"/>
    <w:rsid w:val="00990707"/>
    <w:rsid w:val="00990FC5"/>
    <w:rsid w:val="009912E3"/>
    <w:rsid w:val="00991436"/>
    <w:rsid w:val="009916BA"/>
    <w:rsid w:val="0099240F"/>
    <w:rsid w:val="00993295"/>
    <w:rsid w:val="00993473"/>
    <w:rsid w:val="00993A63"/>
    <w:rsid w:val="00993FC8"/>
    <w:rsid w:val="00994349"/>
    <w:rsid w:val="009943C1"/>
    <w:rsid w:val="0099491B"/>
    <w:rsid w:val="009953FF"/>
    <w:rsid w:val="009955C1"/>
    <w:rsid w:val="009957C8"/>
    <w:rsid w:val="00995EAF"/>
    <w:rsid w:val="00995F12"/>
    <w:rsid w:val="0099619A"/>
    <w:rsid w:val="0099630F"/>
    <w:rsid w:val="009970E0"/>
    <w:rsid w:val="00997F18"/>
    <w:rsid w:val="00997F22"/>
    <w:rsid w:val="009A0161"/>
    <w:rsid w:val="009A01C6"/>
    <w:rsid w:val="009A0321"/>
    <w:rsid w:val="009A0D96"/>
    <w:rsid w:val="009A1016"/>
    <w:rsid w:val="009A147F"/>
    <w:rsid w:val="009A1632"/>
    <w:rsid w:val="009A18B5"/>
    <w:rsid w:val="009A1E26"/>
    <w:rsid w:val="009A22ED"/>
    <w:rsid w:val="009A29AB"/>
    <w:rsid w:val="009A409A"/>
    <w:rsid w:val="009A4213"/>
    <w:rsid w:val="009A53E9"/>
    <w:rsid w:val="009A588D"/>
    <w:rsid w:val="009A615C"/>
    <w:rsid w:val="009A62B9"/>
    <w:rsid w:val="009A64BF"/>
    <w:rsid w:val="009A6F91"/>
    <w:rsid w:val="009A73BA"/>
    <w:rsid w:val="009A7466"/>
    <w:rsid w:val="009A7951"/>
    <w:rsid w:val="009A7D5A"/>
    <w:rsid w:val="009A7EDC"/>
    <w:rsid w:val="009B0066"/>
    <w:rsid w:val="009B026F"/>
    <w:rsid w:val="009B0579"/>
    <w:rsid w:val="009B1C1C"/>
    <w:rsid w:val="009B1DE6"/>
    <w:rsid w:val="009B2232"/>
    <w:rsid w:val="009B2303"/>
    <w:rsid w:val="009B2B77"/>
    <w:rsid w:val="009B2BBB"/>
    <w:rsid w:val="009B2F1C"/>
    <w:rsid w:val="009B3184"/>
    <w:rsid w:val="009B328C"/>
    <w:rsid w:val="009B3996"/>
    <w:rsid w:val="009B53D3"/>
    <w:rsid w:val="009B557C"/>
    <w:rsid w:val="009B58C3"/>
    <w:rsid w:val="009B5BA5"/>
    <w:rsid w:val="009B5D27"/>
    <w:rsid w:val="009B5F00"/>
    <w:rsid w:val="009B6423"/>
    <w:rsid w:val="009B6C60"/>
    <w:rsid w:val="009B717E"/>
    <w:rsid w:val="009B76DE"/>
    <w:rsid w:val="009B7875"/>
    <w:rsid w:val="009B7F5E"/>
    <w:rsid w:val="009C05B4"/>
    <w:rsid w:val="009C0769"/>
    <w:rsid w:val="009C0C91"/>
    <w:rsid w:val="009C0E7B"/>
    <w:rsid w:val="009C1178"/>
    <w:rsid w:val="009C1905"/>
    <w:rsid w:val="009C1F75"/>
    <w:rsid w:val="009C2177"/>
    <w:rsid w:val="009C21C5"/>
    <w:rsid w:val="009C2722"/>
    <w:rsid w:val="009C3B50"/>
    <w:rsid w:val="009C409B"/>
    <w:rsid w:val="009C4192"/>
    <w:rsid w:val="009C428B"/>
    <w:rsid w:val="009C482E"/>
    <w:rsid w:val="009C4B34"/>
    <w:rsid w:val="009C4D3F"/>
    <w:rsid w:val="009C62BA"/>
    <w:rsid w:val="009C65B5"/>
    <w:rsid w:val="009C65F6"/>
    <w:rsid w:val="009C6991"/>
    <w:rsid w:val="009C794F"/>
    <w:rsid w:val="009C7A9A"/>
    <w:rsid w:val="009D0561"/>
    <w:rsid w:val="009D0573"/>
    <w:rsid w:val="009D0F15"/>
    <w:rsid w:val="009D1ACF"/>
    <w:rsid w:val="009D213A"/>
    <w:rsid w:val="009D22C2"/>
    <w:rsid w:val="009D22FB"/>
    <w:rsid w:val="009D24CD"/>
    <w:rsid w:val="009D25BD"/>
    <w:rsid w:val="009D27EE"/>
    <w:rsid w:val="009D2FD9"/>
    <w:rsid w:val="009D3159"/>
    <w:rsid w:val="009D318D"/>
    <w:rsid w:val="009D33F6"/>
    <w:rsid w:val="009D383F"/>
    <w:rsid w:val="009D3FB2"/>
    <w:rsid w:val="009D45BE"/>
    <w:rsid w:val="009D5471"/>
    <w:rsid w:val="009D7820"/>
    <w:rsid w:val="009D79B8"/>
    <w:rsid w:val="009D7E21"/>
    <w:rsid w:val="009E01C1"/>
    <w:rsid w:val="009E0219"/>
    <w:rsid w:val="009E0415"/>
    <w:rsid w:val="009E04E3"/>
    <w:rsid w:val="009E0503"/>
    <w:rsid w:val="009E05DF"/>
    <w:rsid w:val="009E0FE4"/>
    <w:rsid w:val="009E138D"/>
    <w:rsid w:val="009E1434"/>
    <w:rsid w:val="009E1E5A"/>
    <w:rsid w:val="009E24B3"/>
    <w:rsid w:val="009E2689"/>
    <w:rsid w:val="009E2876"/>
    <w:rsid w:val="009E2DD5"/>
    <w:rsid w:val="009E3B33"/>
    <w:rsid w:val="009E48F9"/>
    <w:rsid w:val="009E4A8A"/>
    <w:rsid w:val="009E4CE7"/>
    <w:rsid w:val="009E645B"/>
    <w:rsid w:val="009E73B8"/>
    <w:rsid w:val="009F0097"/>
    <w:rsid w:val="009F00FE"/>
    <w:rsid w:val="009F034D"/>
    <w:rsid w:val="009F0AF1"/>
    <w:rsid w:val="009F0CCB"/>
    <w:rsid w:val="009F10D9"/>
    <w:rsid w:val="009F1A25"/>
    <w:rsid w:val="009F1AC2"/>
    <w:rsid w:val="009F1F5B"/>
    <w:rsid w:val="009F276E"/>
    <w:rsid w:val="009F2CA7"/>
    <w:rsid w:val="009F32FC"/>
    <w:rsid w:val="009F33E9"/>
    <w:rsid w:val="009F3871"/>
    <w:rsid w:val="009F3B4B"/>
    <w:rsid w:val="009F5042"/>
    <w:rsid w:val="009F5E8A"/>
    <w:rsid w:val="009F7E2E"/>
    <w:rsid w:val="00A0001B"/>
    <w:rsid w:val="00A001D1"/>
    <w:rsid w:val="00A00BFA"/>
    <w:rsid w:val="00A00EF9"/>
    <w:rsid w:val="00A00EFF"/>
    <w:rsid w:val="00A010D1"/>
    <w:rsid w:val="00A0115A"/>
    <w:rsid w:val="00A01AFF"/>
    <w:rsid w:val="00A01DED"/>
    <w:rsid w:val="00A02499"/>
    <w:rsid w:val="00A02E7E"/>
    <w:rsid w:val="00A03037"/>
    <w:rsid w:val="00A04B75"/>
    <w:rsid w:val="00A052EE"/>
    <w:rsid w:val="00A05346"/>
    <w:rsid w:val="00A05CED"/>
    <w:rsid w:val="00A05EC3"/>
    <w:rsid w:val="00A0622E"/>
    <w:rsid w:val="00A06548"/>
    <w:rsid w:val="00A06C97"/>
    <w:rsid w:val="00A072C8"/>
    <w:rsid w:val="00A074E9"/>
    <w:rsid w:val="00A07512"/>
    <w:rsid w:val="00A077EC"/>
    <w:rsid w:val="00A07ECC"/>
    <w:rsid w:val="00A10982"/>
    <w:rsid w:val="00A11494"/>
    <w:rsid w:val="00A114AE"/>
    <w:rsid w:val="00A115F6"/>
    <w:rsid w:val="00A11914"/>
    <w:rsid w:val="00A121FB"/>
    <w:rsid w:val="00A1234D"/>
    <w:rsid w:val="00A13456"/>
    <w:rsid w:val="00A13812"/>
    <w:rsid w:val="00A13964"/>
    <w:rsid w:val="00A139F1"/>
    <w:rsid w:val="00A13C30"/>
    <w:rsid w:val="00A14A7E"/>
    <w:rsid w:val="00A14C8E"/>
    <w:rsid w:val="00A14E52"/>
    <w:rsid w:val="00A151FA"/>
    <w:rsid w:val="00A15CE5"/>
    <w:rsid w:val="00A1620F"/>
    <w:rsid w:val="00A1626A"/>
    <w:rsid w:val="00A1640D"/>
    <w:rsid w:val="00A17218"/>
    <w:rsid w:val="00A174DC"/>
    <w:rsid w:val="00A17DCB"/>
    <w:rsid w:val="00A17EB5"/>
    <w:rsid w:val="00A20441"/>
    <w:rsid w:val="00A20840"/>
    <w:rsid w:val="00A2192E"/>
    <w:rsid w:val="00A21A7D"/>
    <w:rsid w:val="00A2229F"/>
    <w:rsid w:val="00A22332"/>
    <w:rsid w:val="00A22399"/>
    <w:rsid w:val="00A22794"/>
    <w:rsid w:val="00A2292B"/>
    <w:rsid w:val="00A22D87"/>
    <w:rsid w:val="00A232FA"/>
    <w:rsid w:val="00A2344E"/>
    <w:rsid w:val="00A23854"/>
    <w:rsid w:val="00A23AB4"/>
    <w:rsid w:val="00A24112"/>
    <w:rsid w:val="00A24161"/>
    <w:rsid w:val="00A24B5C"/>
    <w:rsid w:val="00A251C2"/>
    <w:rsid w:val="00A251FA"/>
    <w:rsid w:val="00A25891"/>
    <w:rsid w:val="00A25FCF"/>
    <w:rsid w:val="00A26A25"/>
    <w:rsid w:val="00A26B4C"/>
    <w:rsid w:val="00A26E81"/>
    <w:rsid w:val="00A270A2"/>
    <w:rsid w:val="00A271EF"/>
    <w:rsid w:val="00A2797B"/>
    <w:rsid w:val="00A30429"/>
    <w:rsid w:val="00A30703"/>
    <w:rsid w:val="00A30CFD"/>
    <w:rsid w:val="00A30EF2"/>
    <w:rsid w:val="00A30FFD"/>
    <w:rsid w:val="00A31019"/>
    <w:rsid w:val="00A31745"/>
    <w:rsid w:val="00A317A0"/>
    <w:rsid w:val="00A323BF"/>
    <w:rsid w:val="00A32C8B"/>
    <w:rsid w:val="00A32D9F"/>
    <w:rsid w:val="00A337F3"/>
    <w:rsid w:val="00A33A78"/>
    <w:rsid w:val="00A33B23"/>
    <w:rsid w:val="00A3400F"/>
    <w:rsid w:val="00A3451C"/>
    <w:rsid w:val="00A34605"/>
    <w:rsid w:val="00A34E9C"/>
    <w:rsid w:val="00A35104"/>
    <w:rsid w:val="00A3596E"/>
    <w:rsid w:val="00A35D5D"/>
    <w:rsid w:val="00A35E37"/>
    <w:rsid w:val="00A36F44"/>
    <w:rsid w:val="00A3776E"/>
    <w:rsid w:val="00A37D85"/>
    <w:rsid w:val="00A37FAD"/>
    <w:rsid w:val="00A37FCC"/>
    <w:rsid w:val="00A404B8"/>
    <w:rsid w:val="00A405DC"/>
    <w:rsid w:val="00A4083B"/>
    <w:rsid w:val="00A41B18"/>
    <w:rsid w:val="00A41DD9"/>
    <w:rsid w:val="00A41E61"/>
    <w:rsid w:val="00A4222A"/>
    <w:rsid w:val="00A42604"/>
    <w:rsid w:val="00A427E9"/>
    <w:rsid w:val="00A43650"/>
    <w:rsid w:val="00A43970"/>
    <w:rsid w:val="00A43BB7"/>
    <w:rsid w:val="00A43D9E"/>
    <w:rsid w:val="00A456A6"/>
    <w:rsid w:val="00A457C9"/>
    <w:rsid w:val="00A45BA2"/>
    <w:rsid w:val="00A45C79"/>
    <w:rsid w:val="00A460CC"/>
    <w:rsid w:val="00A46484"/>
    <w:rsid w:val="00A4664B"/>
    <w:rsid w:val="00A46EBA"/>
    <w:rsid w:val="00A47CB2"/>
    <w:rsid w:val="00A47DC1"/>
    <w:rsid w:val="00A47EEB"/>
    <w:rsid w:val="00A47EF6"/>
    <w:rsid w:val="00A500B6"/>
    <w:rsid w:val="00A5010C"/>
    <w:rsid w:val="00A508EB"/>
    <w:rsid w:val="00A50E24"/>
    <w:rsid w:val="00A512B9"/>
    <w:rsid w:val="00A5169B"/>
    <w:rsid w:val="00A523BC"/>
    <w:rsid w:val="00A52598"/>
    <w:rsid w:val="00A52C29"/>
    <w:rsid w:val="00A532BD"/>
    <w:rsid w:val="00A5389C"/>
    <w:rsid w:val="00A53A06"/>
    <w:rsid w:val="00A53C45"/>
    <w:rsid w:val="00A53F1F"/>
    <w:rsid w:val="00A540DC"/>
    <w:rsid w:val="00A54432"/>
    <w:rsid w:val="00A546C3"/>
    <w:rsid w:val="00A54837"/>
    <w:rsid w:val="00A54F35"/>
    <w:rsid w:val="00A557A5"/>
    <w:rsid w:val="00A55AB5"/>
    <w:rsid w:val="00A56302"/>
    <w:rsid w:val="00A56A89"/>
    <w:rsid w:val="00A56AD1"/>
    <w:rsid w:val="00A57391"/>
    <w:rsid w:val="00A601E4"/>
    <w:rsid w:val="00A60865"/>
    <w:rsid w:val="00A6191D"/>
    <w:rsid w:val="00A6244D"/>
    <w:rsid w:val="00A6289D"/>
    <w:rsid w:val="00A6330A"/>
    <w:rsid w:val="00A6347A"/>
    <w:rsid w:val="00A636D9"/>
    <w:rsid w:val="00A64263"/>
    <w:rsid w:val="00A64612"/>
    <w:rsid w:val="00A64CA7"/>
    <w:rsid w:val="00A6520A"/>
    <w:rsid w:val="00A6561B"/>
    <w:rsid w:val="00A65F04"/>
    <w:rsid w:val="00A67130"/>
    <w:rsid w:val="00A6733A"/>
    <w:rsid w:val="00A673B6"/>
    <w:rsid w:val="00A67885"/>
    <w:rsid w:val="00A701F7"/>
    <w:rsid w:val="00A71080"/>
    <w:rsid w:val="00A71B06"/>
    <w:rsid w:val="00A71BD6"/>
    <w:rsid w:val="00A71FF5"/>
    <w:rsid w:val="00A72719"/>
    <w:rsid w:val="00A73820"/>
    <w:rsid w:val="00A73A98"/>
    <w:rsid w:val="00A74339"/>
    <w:rsid w:val="00A74755"/>
    <w:rsid w:val="00A748D8"/>
    <w:rsid w:val="00A74CDD"/>
    <w:rsid w:val="00A751D7"/>
    <w:rsid w:val="00A75602"/>
    <w:rsid w:val="00A758D3"/>
    <w:rsid w:val="00A75ED9"/>
    <w:rsid w:val="00A76465"/>
    <w:rsid w:val="00A76925"/>
    <w:rsid w:val="00A76944"/>
    <w:rsid w:val="00A76C15"/>
    <w:rsid w:val="00A76DAF"/>
    <w:rsid w:val="00A77729"/>
    <w:rsid w:val="00A77878"/>
    <w:rsid w:val="00A77ECB"/>
    <w:rsid w:val="00A81590"/>
    <w:rsid w:val="00A82B55"/>
    <w:rsid w:val="00A83306"/>
    <w:rsid w:val="00A833C5"/>
    <w:rsid w:val="00A838D3"/>
    <w:rsid w:val="00A83C06"/>
    <w:rsid w:val="00A83E2C"/>
    <w:rsid w:val="00A8403D"/>
    <w:rsid w:val="00A8465A"/>
    <w:rsid w:val="00A84936"/>
    <w:rsid w:val="00A84E5B"/>
    <w:rsid w:val="00A85A65"/>
    <w:rsid w:val="00A85C41"/>
    <w:rsid w:val="00A85F94"/>
    <w:rsid w:val="00A86134"/>
    <w:rsid w:val="00A86414"/>
    <w:rsid w:val="00A868C4"/>
    <w:rsid w:val="00A86EDA"/>
    <w:rsid w:val="00A86F5C"/>
    <w:rsid w:val="00A90116"/>
    <w:rsid w:val="00A901F3"/>
    <w:rsid w:val="00A906A7"/>
    <w:rsid w:val="00A90DC9"/>
    <w:rsid w:val="00A91B15"/>
    <w:rsid w:val="00A92506"/>
    <w:rsid w:val="00A93782"/>
    <w:rsid w:val="00A944A2"/>
    <w:rsid w:val="00A94595"/>
    <w:rsid w:val="00A945DC"/>
    <w:rsid w:val="00A9522B"/>
    <w:rsid w:val="00A959D5"/>
    <w:rsid w:val="00A95E71"/>
    <w:rsid w:val="00A960FF"/>
    <w:rsid w:val="00A9611C"/>
    <w:rsid w:val="00A969B5"/>
    <w:rsid w:val="00A977FA"/>
    <w:rsid w:val="00A97B69"/>
    <w:rsid w:val="00A97D49"/>
    <w:rsid w:val="00AA00A3"/>
    <w:rsid w:val="00AA0949"/>
    <w:rsid w:val="00AA0B95"/>
    <w:rsid w:val="00AA11A5"/>
    <w:rsid w:val="00AA1757"/>
    <w:rsid w:val="00AA1B6A"/>
    <w:rsid w:val="00AA1B6E"/>
    <w:rsid w:val="00AA41DF"/>
    <w:rsid w:val="00AA4411"/>
    <w:rsid w:val="00AA45B4"/>
    <w:rsid w:val="00AA4900"/>
    <w:rsid w:val="00AA520E"/>
    <w:rsid w:val="00AA5989"/>
    <w:rsid w:val="00AA59DD"/>
    <w:rsid w:val="00AA62C6"/>
    <w:rsid w:val="00AA632E"/>
    <w:rsid w:val="00AA700A"/>
    <w:rsid w:val="00AA735F"/>
    <w:rsid w:val="00AA7391"/>
    <w:rsid w:val="00AA7A69"/>
    <w:rsid w:val="00AB01D1"/>
    <w:rsid w:val="00AB03BD"/>
    <w:rsid w:val="00AB0BC7"/>
    <w:rsid w:val="00AB108D"/>
    <w:rsid w:val="00AB14E7"/>
    <w:rsid w:val="00AB268F"/>
    <w:rsid w:val="00AB29F6"/>
    <w:rsid w:val="00AB2CB9"/>
    <w:rsid w:val="00AB2E48"/>
    <w:rsid w:val="00AB33AC"/>
    <w:rsid w:val="00AB36B0"/>
    <w:rsid w:val="00AB36C9"/>
    <w:rsid w:val="00AB3BFD"/>
    <w:rsid w:val="00AB3C32"/>
    <w:rsid w:val="00AB3CE1"/>
    <w:rsid w:val="00AB3E31"/>
    <w:rsid w:val="00AB4D72"/>
    <w:rsid w:val="00AB4E5B"/>
    <w:rsid w:val="00AB5A84"/>
    <w:rsid w:val="00AB6180"/>
    <w:rsid w:val="00AB62BF"/>
    <w:rsid w:val="00AB63E1"/>
    <w:rsid w:val="00AB63FC"/>
    <w:rsid w:val="00AB6C0C"/>
    <w:rsid w:val="00AB6FAE"/>
    <w:rsid w:val="00AB780F"/>
    <w:rsid w:val="00AC039B"/>
    <w:rsid w:val="00AC040D"/>
    <w:rsid w:val="00AC09F0"/>
    <w:rsid w:val="00AC0DD9"/>
    <w:rsid w:val="00AC0EFE"/>
    <w:rsid w:val="00AC121B"/>
    <w:rsid w:val="00AC17BF"/>
    <w:rsid w:val="00AC17EA"/>
    <w:rsid w:val="00AC1AA4"/>
    <w:rsid w:val="00AC20C2"/>
    <w:rsid w:val="00AC2909"/>
    <w:rsid w:val="00AC2DB2"/>
    <w:rsid w:val="00AC32AC"/>
    <w:rsid w:val="00AC3765"/>
    <w:rsid w:val="00AC4C5F"/>
    <w:rsid w:val="00AC5367"/>
    <w:rsid w:val="00AC563F"/>
    <w:rsid w:val="00AC5825"/>
    <w:rsid w:val="00AC64A2"/>
    <w:rsid w:val="00AC6CA3"/>
    <w:rsid w:val="00AC74BF"/>
    <w:rsid w:val="00AC774E"/>
    <w:rsid w:val="00AD0219"/>
    <w:rsid w:val="00AD02ED"/>
    <w:rsid w:val="00AD0ECA"/>
    <w:rsid w:val="00AD0FC7"/>
    <w:rsid w:val="00AD1053"/>
    <w:rsid w:val="00AD16D6"/>
    <w:rsid w:val="00AD1DEF"/>
    <w:rsid w:val="00AD25DA"/>
    <w:rsid w:val="00AD2EBA"/>
    <w:rsid w:val="00AD36B9"/>
    <w:rsid w:val="00AD3981"/>
    <w:rsid w:val="00AD3BFD"/>
    <w:rsid w:val="00AD449C"/>
    <w:rsid w:val="00AD49F4"/>
    <w:rsid w:val="00AD4A73"/>
    <w:rsid w:val="00AD51D0"/>
    <w:rsid w:val="00AD57BA"/>
    <w:rsid w:val="00AD5C0B"/>
    <w:rsid w:val="00AD5DC7"/>
    <w:rsid w:val="00AD62D6"/>
    <w:rsid w:val="00AD694C"/>
    <w:rsid w:val="00AD6DDB"/>
    <w:rsid w:val="00AD751F"/>
    <w:rsid w:val="00AD7759"/>
    <w:rsid w:val="00AD7A48"/>
    <w:rsid w:val="00AD7B6A"/>
    <w:rsid w:val="00AD7FBE"/>
    <w:rsid w:val="00AE033F"/>
    <w:rsid w:val="00AE0713"/>
    <w:rsid w:val="00AE12C3"/>
    <w:rsid w:val="00AE1462"/>
    <w:rsid w:val="00AE1A33"/>
    <w:rsid w:val="00AE25B2"/>
    <w:rsid w:val="00AE2781"/>
    <w:rsid w:val="00AE30FD"/>
    <w:rsid w:val="00AE388F"/>
    <w:rsid w:val="00AE3A56"/>
    <w:rsid w:val="00AE3C6F"/>
    <w:rsid w:val="00AE3CFC"/>
    <w:rsid w:val="00AE422F"/>
    <w:rsid w:val="00AE45DC"/>
    <w:rsid w:val="00AE4842"/>
    <w:rsid w:val="00AE4BB3"/>
    <w:rsid w:val="00AE4C8F"/>
    <w:rsid w:val="00AE4E0A"/>
    <w:rsid w:val="00AE4ED7"/>
    <w:rsid w:val="00AE4F11"/>
    <w:rsid w:val="00AE510D"/>
    <w:rsid w:val="00AE58F9"/>
    <w:rsid w:val="00AE5A62"/>
    <w:rsid w:val="00AE680A"/>
    <w:rsid w:val="00AE691B"/>
    <w:rsid w:val="00AE7103"/>
    <w:rsid w:val="00AE7840"/>
    <w:rsid w:val="00AF0210"/>
    <w:rsid w:val="00AF07E4"/>
    <w:rsid w:val="00AF0964"/>
    <w:rsid w:val="00AF1E6D"/>
    <w:rsid w:val="00AF1EEE"/>
    <w:rsid w:val="00AF1FA9"/>
    <w:rsid w:val="00AF21C9"/>
    <w:rsid w:val="00AF221C"/>
    <w:rsid w:val="00AF2C21"/>
    <w:rsid w:val="00AF2C2C"/>
    <w:rsid w:val="00AF3BF6"/>
    <w:rsid w:val="00AF3FED"/>
    <w:rsid w:val="00AF4060"/>
    <w:rsid w:val="00AF4231"/>
    <w:rsid w:val="00AF4752"/>
    <w:rsid w:val="00AF4A5C"/>
    <w:rsid w:val="00AF4C31"/>
    <w:rsid w:val="00AF5141"/>
    <w:rsid w:val="00AF5882"/>
    <w:rsid w:val="00AF5953"/>
    <w:rsid w:val="00AF5CA2"/>
    <w:rsid w:val="00AF60F1"/>
    <w:rsid w:val="00AF61D9"/>
    <w:rsid w:val="00AF65E2"/>
    <w:rsid w:val="00AF785E"/>
    <w:rsid w:val="00AF7986"/>
    <w:rsid w:val="00AF79D0"/>
    <w:rsid w:val="00B00489"/>
    <w:rsid w:val="00B0095D"/>
    <w:rsid w:val="00B0146E"/>
    <w:rsid w:val="00B01E5B"/>
    <w:rsid w:val="00B02D8A"/>
    <w:rsid w:val="00B03591"/>
    <w:rsid w:val="00B03CF4"/>
    <w:rsid w:val="00B03F28"/>
    <w:rsid w:val="00B03F8A"/>
    <w:rsid w:val="00B048A4"/>
    <w:rsid w:val="00B0503B"/>
    <w:rsid w:val="00B05B0E"/>
    <w:rsid w:val="00B0610A"/>
    <w:rsid w:val="00B06116"/>
    <w:rsid w:val="00B0643D"/>
    <w:rsid w:val="00B06A29"/>
    <w:rsid w:val="00B06CE4"/>
    <w:rsid w:val="00B07134"/>
    <w:rsid w:val="00B10164"/>
    <w:rsid w:val="00B10E88"/>
    <w:rsid w:val="00B10F9F"/>
    <w:rsid w:val="00B112E8"/>
    <w:rsid w:val="00B1137A"/>
    <w:rsid w:val="00B121C9"/>
    <w:rsid w:val="00B12CDB"/>
    <w:rsid w:val="00B130F1"/>
    <w:rsid w:val="00B13364"/>
    <w:rsid w:val="00B138EC"/>
    <w:rsid w:val="00B14E78"/>
    <w:rsid w:val="00B15219"/>
    <w:rsid w:val="00B1687C"/>
    <w:rsid w:val="00B16CBA"/>
    <w:rsid w:val="00B16E5E"/>
    <w:rsid w:val="00B16EFA"/>
    <w:rsid w:val="00B17054"/>
    <w:rsid w:val="00B17FE3"/>
    <w:rsid w:val="00B202F2"/>
    <w:rsid w:val="00B211A9"/>
    <w:rsid w:val="00B211FE"/>
    <w:rsid w:val="00B214F1"/>
    <w:rsid w:val="00B22375"/>
    <w:rsid w:val="00B22898"/>
    <w:rsid w:val="00B22A86"/>
    <w:rsid w:val="00B22C13"/>
    <w:rsid w:val="00B22FEE"/>
    <w:rsid w:val="00B2351E"/>
    <w:rsid w:val="00B23E43"/>
    <w:rsid w:val="00B23ED5"/>
    <w:rsid w:val="00B24A4B"/>
    <w:rsid w:val="00B25721"/>
    <w:rsid w:val="00B25E74"/>
    <w:rsid w:val="00B26004"/>
    <w:rsid w:val="00B270DF"/>
    <w:rsid w:val="00B272E8"/>
    <w:rsid w:val="00B27336"/>
    <w:rsid w:val="00B27455"/>
    <w:rsid w:val="00B27956"/>
    <w:rsid w:val="00B27C2E"/>
    <w:rsid w:val="00B30B7E"/>
    <w:rsid w:val="00B31227"/>
    <w:rsid w:val="00B31AAD"/>
    <w:rsid w:val="00B31DA1"/>
    <w:rsid w:val="00B31F69"/>
    <w:rsid w:val="00B320C4"/>
    <w:rsid w:val="00B328FA"/>
    <w:rsid w:val="00B32DFF"/>
    <w:rsid w:val="00B3345E"/>
    <w:rsid w:val="00B33FDF"/>
    <w:rsid w:val="00B33FE5"/>
    <w:rsid w:val="00B340CD"/>
    <w:rsid w:val="00B34106"/>
    <w:rsid w:val="00B341CA"/>
    <w:rsid w:val="00B345BB"/>
    <w:rsid w:val="00B34DF3"/>
    <w:rsid w:val="00B34F78"/>
    <w:rsid w:val="00B3639E"/>
    <w:rsid w:val="00B36866"/>
    <w:rsid w:val="00B36F87"/>
    <w:rsid w:val="00B37123"/>
    <w:rsid w:val="00B374A9"/>
    <w:rsid w:val="00B37C69"/>
    <w:rsid w:val="00B40A53"/>
    <w:rsid w:val="00B41444"/>
    <w:rsid w:val="00B4153A"/>
    <w:rsid w:val="00B41728"/>
    <w:rsid w:val="00B41DC3"/>
    <w:rsid w:val="00B41DDD"/>
    <w:rsid w:val="00B42FA1"/>
    <w:rsid w:val="00B431BC"/>
    <w:rsid w:val="00B43B15"/>
    <w:rsid w:val="00B44635"/>
    <w:rsid w:val="00B44946"/>
    <w:rsid w:val="00B450B3"/>
    <w:rsid w:val="00B452D9"/>
    <w:rsid w:val="00B452E3"/>
    <w:rsid w:val="00B453E8"/>
    <w:rsid w:val="00B4541A"/>
    <w:rsid w:val="00B454E9"/>
    <w:rsid w:val="00B4635A"/>
    <w:rsid w:val="00B463F8"/>
    <w:rsid w:val="00B46617"/>
    <w:rsid w:val="00B46691"/>
    <w:rsid w:val="00B479F9"/>
    <w:rsid w:val="00B501C0"/>
    <w:rsid w:val="00B51477"/>
    <w:rsid w:val="00B51822"/>
    <w:rsid w:val="00B526B3"/>
    <w:rsid w:val="00B52D86"/>
    <w:rsid w:val="00B533DC"/>
    <w:rsid w:val="00B53767"/>
    <w:rsid w:val="00B53B17"/>
    <w:rsid w:val="00B53C27"/>
    <w:rsid w:val="00B53CFE"/>
    <w:rsid w:val="00B540D5"/>
    <w:rsid w:val="00B54428"/>
    <w:rsid w:val="00B55962"/>
    <w:rsid w:val="00B559BD"/>
    <w:rsid w:val="00B55E02"/>
    <w:rsid w:val="00B562B1"/>
    <w:rsid w:val="00B56630"/>
    <w:rsid w:val="00B572C2"/>
    <w:rsid w:val="00B575EB"/>
    <w:rsid w:val="00B60348"/>
    <w:rsid w:val="00B60962"/>
    <w:rsid w:val="00B610F9"/>
    <w:rsid w:val="00B61190"/>
    <w:rsid w:val="00B612A6"/>
    <w:rsid w:val="00B616EE"/>
    <w:rsid w:val="00B62577"/>
    <w:rsid w:val="00B62C99"/>
    <w:rsid w:val="00B62D58"/>
    <w:rsid w:val="00B63CD9"/>
    <w:rsid w:val="00B64A05"/>
    <w:rsid w:val="00B64E20"/>
    <w:rsid w:val="00B655B3"/>
    <w:rsid w:val="00B656D6"/>
    <w:rsid w:val="00B66A26"/>
    <w:rsid w:val="00B67C6B"/>
    <w:rsid w:val="00B67D15"/>
    <w:rsid w:val="00B70A21"/>
    <w:rsid w:val="00B70B2E"/>
    <w:rsid w:val="00B71070"/>
    <w:rsid w:val="00B71F20"/>
    <w:rsid w:val="00B72152"/>
    <w:rsid w:val="00B7251E"/>
    <w:rsid w:val="00B72A22"/>
    <w:rsid w:val="00B72B59"/>
    <w:rsid w:val="00B73135"/>
    <w:rsid w:val="00B73DD7"/>
    <w:rsid w:val="00B7440A"/>
    <w:rsid w:val="00B74E72"/>
    <w:rsid w:val="00B7541F"/>
    <w:rsid w:val="00B759C2"/>
    <w:rsid w:val="00B75F25"/>
    <w:rsid w:val="00B76241"/>
    <w:rsid w:val="00B76761"/>
    <w:rsid w:val="00B76E91"/>
    <w:rsid w:val="00B774D2"/>
    <w:rsid w:val="00B7773F"/>
    <w:rsid w:val="00B77CE2"/>
    <w:rsid w:val="00B77FE2"/>
    <w:rsid w:val="00B80383"/>
    <w:rsid w:val="00B80CF4"/>
    <w:rsid w:val="00B811A8"/>
    <w:rsid w:val="00B823ED"/>
    <w:rsid w:val="00B827D9"/>
    <w:rsid w:val="00B83481"/>
    <w:rsid w:val="00B83CE8"/>
    <w:rsid w:val="00B83D25"/>
    <w:rsid w:val="00B845D9"/>
    <w:rsid w:val="00B845E6"/>
    <w:rsid w:val="00B84674"/>
    <w:rsid w:val="00B84E05"/>
    <w:rsid w:val="00B852EB"/>
    <w:rsid w:val="00B85A3D"/>
    <w:rsid w:val="00B865DB"/>
    <w:rsid w:val="00B87313"/>
    <w:rsid w:val="00B87DD4"/>
    <w:rsid w:val="00B87E74"/>
    <w:rsid w:val="00B87EBA"/>
    <w:rsid w:val="00B90145"/>
    <w:rsid w:val="00B90E3A"/>
    <w:rsid w:val="00B90EE7"/>
    <w:rsid w:val="00B91908"/>
    <w:rsid w:val="00B91D5D"/>
    <w:rsid w:val="00B91EF8"/>
    <w:rsid w:val="00B92204"/>
    <w:rsid w:val="00B9244B"/>
    <w:rsid w:val="00B9273B"/>
    <w:rsid w:val="00B92B2C"/>
    <w:rsid w:val="00B932E0"/>
    <w:rsid w:val="00B935DD"/>
    <w:rsid w:val="00B94667"/>
    <w:rsid w:val="00B95B3D"/>
    <w:rsid w:val="00B95CC8"/>
    <w:rsid w:val="00B9613C"/>
    <w:rsid w:val="00B97379"/>
    <w:rsid w:val="00BA0A00"/>
    <w:rsid w:val="00BA0B1B"/>
    <w:rsid w:val="00BA0DC0"/>
    <w:rsid w:val="00BA1262"/>
    <w:rsid w:val="00BA1274"/>
    <w:rsid w:val="00BA184E"/>
    <w:rsid w:val="00BA18F4"/>
    <w:rsid w:val="00BA19D9"/>
    <w:rsid w:val="00BA1AB8"/>
    <w:rsid w:val="00BA1C83"/>
    <w:rsid w:val="00BA2D8F"/>
    <w:rsid w:val="00BA3D14"/>
    <w:rsid w:val="00BA44D7"/>
    <w:rsid w:val="00BA4DD6"/>
    <w:rsid w:val="00BA4F6E"/>
    <w:rsid w:val="00BA605A"/>
    <w:rsid w:val="00BA6B38"/>
    <w:rsid w:val="00BA6F42"/>
    <w:rsid w:val="00BA7728"/>
    <w:rsid w:val="00BA7C09"/>
    <w:rsid w:val="00BA7E6E"/>
    <w:rsid w:val="00BB0685"/>
    <w:rsid w:val="00BB0B02"/>
    <w:rsid w:val="00BB0DEA"/>
    <w:rsid w:val="00BB0EB5"/>
    <w:rsid w:val="00BB18CC"/>
    <w:rsid w:val="00BB1C52"/>
    <w:rsid w:val="00BB2269"/>
    <w:rsid w:val="00BB226A"/>
    <w:rsid w:val="00BB25F6"/>
    <w:rsid w:val="00BB273D"/>
    <w:rsid w:val="00BB2FBB"/>
    <w:rsid w:val="00BB3C97"/>
    <w:rsid w:val="00BB4722"/>
    <w:rsid w:val="00BB49B0"/>
    <w:rsid w:val="00BB4A98"/>
    <w:rsid w:val="00BB4BDC"/>
    <w:rsid w:val="00BB4BDD"/>
    <w:rsid w:val="00BB5156"/>
    <w:rsid w:val="00BB5BDC"/>
    <w:rsid w:val="00BB61B6"/>
    <w:rsid w:val="00BB65AA"/>
    <w:rsid w:val="00BB6997"/>
    <w:rsid w:val="00BB6B87"/>
    <w:rsid w:val="00BB6EEA"/>
    <w:rsid w:val="00BB734A"/>
    <w:rsid w:val="00BB7A65"/>
    <w:rsid w:val="00BC0744"/>
    <w:rsid w:val="00BC1634"/>
    <w:rsid w:val="00BC19E2"/>
    <w:rsid w:val="00BC1DA2"/>
    <w:rsid w:val="00BC1E6D"/>
    <w:rsid w:val="00BC1E88"/>
    <w:rsid w:val="00BC2457"/>
    <w:rsid w:val="00BC2E42"/>
    <w:rsid w:val="00BC33F5"/>
    <w:rsid w:val="00BC41FF"/>
    <w:rsid w:val="00BC56BD"/>
    <w:rsid w:val="00BC5A39"/>
    <w:rsid w:val="00BC5BE9"/>
    <w:rsid w:val="00BC609F"/>
    <w:rsid w:val="00BC7443"/>
    <w:rsid w:val="00BC7C56"/>
    <w:rsid w:val="00BC7C88"/>
    <w:rsid w:val="00BD1388"/>
    <w:rsid w:val="00BD1703"/>
    <w:rsid w:val="00BD1ACA"/>
    <w:rsid w:val="00BD1E96"/>
    <w:rsid w:val="00BD2638"/>
    <w:rsid w:val="00BD2A82"/>
    <w:rsid w:val="00BD35B6"/>
    <w:rsid w:val="00BD3C79"/>
    <w:rsid w:val="00BD3EDD"/>
    <w:rsid w:val="00BD41BA"/>
    <w:rsid w:val="00BD4369"/>
    <w:rsid w:val="00BD43F6"/>
    <w:rsid w:val="00BD4FFF"/>
    <w:rsid w:val="00BD61EC"/>
    <w:rsid w:val="00BD6625"/>
    <w:rsid w:val="00BD67AF"/>
    <w:rsid w:val="00BD6E09"/>
    <w:rsid w:val="00BD6FFF"/>
    <w:rsid w:val="00BD72EA"/>
    <w:rsid w:val="00BD7A0C"/>
    <w:rsid w:val="00BE0B51"/>
    <w:rsid w:val="00BE0E2D"/>
    <w:rsid w:val="00BE108C"/>
    <w:rsid w:val="00BE10C6"/>
    <w:rsid w:val="00BE16AB"/>
    <w:rsid w:val="00BE1AD0"/>
    <w:rsid w:val="00BE1B2A"/>
    <w:rsid w:val="00BE207C"/>
    <w:rsid w:val="00BE3881"/>
    <w:rsid w:val="00BE3F98"/>
    <w:rsid w:val="00BE400C"/>
    <w:rsid w:val="00BE44C6"/>
    <w:rsid w:val="00BE4BEF"/>
    <w:rsid w:val="00BE4CE5"/>
    <w:rsid w:val="00BE530E"/>
    <w:rsid w:val="00BE5A2D"/>
    <w:rsid w:val="00BE6109"/>
    <w:rsid w:val="00BE62AD"/>
    <w:rsid w:val="00BE665D"/>
    <w:rsid w:val="00BE6808"/>
    <w:rsid w:val="00BE6F92"/>
    <w:rsid w:val="00BE73D1"/>
    <w:rsid w:val="00BE74A7"/>
    <w:rsid w:val="00BE7B98"/>
    <w:rsid w:val="00BF0587"/>
    <w:rsid w:val="00BF0CC2"/>
    <w:rsid w:val="00BF0DD7"/>
    <w:rsid w:val="00BF1A36"/>
    <w:rsid w:val="00BF1BBD"/>
    <w:rsid w:val="00BF31DF"/>
    <w:rsid w:val="00BF3211"/>
    <w:rsid w:val="00BF4031"/>
    <w:rsid w:val="00BF4B39"/>
    <w:rsid w:val="00BF4B74"/>
    <w:rsid w:val="00BF58DF"/>
    <w:rsid w:val="00BF58F8"/>
    <w:rsid w:val="00BF5F9B"/>
    <w:rsid w:val="00BF6293"/>
    <w:rsid w:val="00BF6FBD"/>
    <w:rsid w:val="00BF796B"/>
    <w:rsid w:val="00C00C35"/>
    <w:rsid w:val="00C00CDA"/>
    <w:rsid w:val="00C01434"/>
    <w:rsid w:val="00C01F0C"/>
    <w:rsid w:val="00C01F1F"/>
    <w:rsid w:val="00C02212"/>
    <w:rsid w:val="00C023A7"/>
    <w:rsid w:val="00C02878"/>
    <w:rsid w:val="00C0338A"/>
    <w:rsid w:val="00C03893"/>
    <w:rsid w:val="00C04A7B"/>
    <w:rsid w:val="00C0564C"/>
    <w:rsid w:val="00C05851"/>
    <w:rsid w:val="00C0672F"/>
    <w:rsid w:val="00C06803"/>
    <w:rsid w:val="00C06FB9"/>
    <w:rsid w:val="00C0743F"/>
    <w:rsid w:val="00C07894"/>
    <w:rsid w:val="00C07C01"/>
    <w:rsid w:val="00C101FC"/>
    <w:rsid w:val="00C10C83"/>
    <w:rsid w:val="00C10D29"/>
    <w:rsid w:val="00C111A6"/>
    <w:rsid w:val="00C11A51"/>
    <w:rsid w:val="00C11E43"/>
    <w:rsid w:val="00C12315"/>
    <w:rsid w:val="00C12DD0"/>
    <w:rsid w:val="00C12F49"/>
    <w:rsid w:val="00C133FB"/>
    <w:rsid w:val="00C13E5D"/>
    <w:rsid w:val="00C13EB9"/>
    <w:rsid w:val="00C143AC"/>
    <w:rsid w:val="00C148B0"/>
    <w:rsid w:val="00C152CB"/>
    <w:rsid w:val="00C153F9"/>
    <w:rsid w:val="00C154D6"/>
    <w:rsid w:val="00C15D3E"/>
    <w:rsid w:val="00C15E35"/>
    <w:rsid w:val="00C164A4"/>
    <w:rsid w:val="00C16501"/>
    <w:rsid w:val="00C167A9"/>
    <w:rsid w:val="00C17968"/>
    <w:rsid w:val="00C17ABA"/>
    <w:rsid w:val="00C17BD0"/>
    <w:rsid w:val="00C17E59"/>
    <w:rsid w:val="00C17F52"/>
    <w:rsid w:val="00C204B6"/>
    <w:rsid w:val="00C208C0"/>
    <w:rsid w:val="00C2138D"/>
    <w:rsid w:val="00C214F3"/>
    <w:rsid w:val="00C230B5"/>
    <w:rsid w:val="00C24A17"/>
    <w:rsid w:val="00C257C8"/>
    <w:rsid w:val="00C25952"/>
    <w:rsid w:val="00C25CB2"/>
    <w:rsid w:val="00C25D0F"/>
    <w:rsid w:val="00C2653E"/>
    <w:rsid w:val="00C268E8"/>
    <w:rsid w:val="00C26CDA"/>
    <w:rsid w:val="00C26FBF"/>
    <w:rsid w:val="00C27BC5"/>
    <w:rsid w:val="00C27DA4"/>
    <w:rsid w:val="00C27EEB"/>
    <w:rsid w:val="00C27FC0"/>
    <w:rsid w:val="00C3076D"/>
    <w:rsid w:val="00C30AC4"/>
    <w:rsid w:val="00C31AEC"/>
    <w:rsid w:val="00C32337"/>
    <w:rsid w:val="00C339EF"/>
    <w:rsid w:val="00C33FF8"/>
    <w:rsid w:val="00C3476B"/>
    <w:rsid w:val="00C34ACE"/>
    <w:rsid w:val="00C34AFD"/>
    <w:rsid w:val="00C34DE1"/>
    <w:rsid w:val="00C3596A"/>
    <w:rsid w:val="00C35F67"/>
    <w:rsid w:val="00C360EF"/>
    <w:rsid w:val="00C36334"/>
    <w:rsid w:val="00C36639"/>
    <w:rsid w:val="00C37064"/>
    <w:rsid w:val="00C37193"/>
    <w:rsid w:val="00C371D4"/>
    <w:rsid w:val="00C37DCF"/>
    <w:rsid w:val="00C402A4"/>
    <w:rsid w:val="00C411E7"/>
    <w:rsid w:val="00C41BFE"/>
    <w:rsid w:val="00C429FB"/>
    <w:rsid w:val="00C42B03"/>
    <w:rsid w:val="00C42C8E"/>
    <w:rsid w:val="00C42D46"/>
    <w:rsid w:val="00C42DD8"/>
    <w:rsid w:val="00C43304"/>
    <w:rsid w:val="00C433AD"/>
    <w:rsid w:val="00C43D01"/>
    <w:rsid w:val="00C44806"/>
    <w:rsid w:val="00C44ABD"/>
    <w:rsid w:val="00C4559E"/>
    <w:rsid w:val="00C459A1"/>
    <w:rsid w:val="00C45D72"/>
    <w:rsid w:val="00C46134"/>
    <w:rsid w:val="00C466B9"/>
    <w:rsid w:val="00C467F3"/>
    <w:rsid w:val="00C4687D"/>
    <w:rsid w:val="00C509AF"/>
    <w:rsid w:val="00C509DA"/>
    <w:rsid w:val="00C50AC0"/>
    <w:rsid w:val="00C50B98"/>
    <w:rsid w:val="00C517FA"/>
    <w:rsid w:val="00C519C7"/>
    <w:rsid w:val="00C52AE4"/>
    <w:rsid w:val="00C52E8A"/>
    <w:rsid w:val="00C54855"/>
    <w:rsid w:val="00C55149"/>
    <w:rsid w:val="00C55534"/>
    <w:rsid w:val="00C55557"/>
    <w:rsid w:val="00C55FC6"/>
    <w:rsid w:val="00C56620"/>
    <w:rsid w:val="00C56B08"/>
    <w:rsid w:val="00C57591"/>
    <w:rsid w:val="00C579F8"/>
    <w:rsid w:val="00C57FF1"/>
    <w:rsid w:val="00C61115"/>
    <w:rsid w:val="00C611F8"/>
    <w:rsid w:val="00C61B80"/>
    <w:rsid w:val="00C62F1F"/>
    <w:rsid w:val="00C63A47"/>
    <w:rsid w:val="00C641DA"/>
    <w:rsid w:val="00C64CC3"/>
    <w:rsid w:val="00C65B58"/>
    <w:rsid w:val="00C65B7C"/>
    <w:rsid w:val="00C66040"/>
    <w:rsid w:val="00C6636C"/>
    <w:rsid w:val="00C70055"/>
    <w:rsid w:val="00C703E9"/>
    <w:rsid w:val="00C705E9"/>
    <w:rsid w:val="00C717F6"/>
    <w:rsid w:val="00C71DA2"/>
    <w:rsid w:val="00C725B0"/>
    <w:rsid w:val="00C72C68"/>
    <w:rsid w:val="00C72FF8"/>
    <w:rsid w:val="00C7333B"/>
    <w:rsid w:val="00C73A31"/>
    <w:rsid w:val="00C73E6A"/>
    <w:rsid w:val="00C74C5C"/>
    <w:rsid w:val="00C75A15"/>
    <w:rsid w:val="00C75B2D"/>
    <w:rsid w:val="00C75EF0"/>
    <w:rsid w:val="00C76655"/>
    <w:rsid w:val="00C769A6"/>
    <w:rsid w:val="00C76C2E"/>
    <w:rsid w:val="00C76C8A"/>
    <w:rsid w:val="00C76E6C"/>
    <w:rsid w:val="00C775F8"/>
    <w:rsid w:val="00C779CF"/>
    <w:rsid w:val="00C77BAB"/>
    <w:rsid w:val="00C77D4D"/>
    <w:rsid w:val="00C805B6"/>
    <w:rsid w:val="00C80A63"/>
    <w:rsid w:val="00C80D44"/>
    <w:rsid w:val="00C81695"/>
    <w:rsid w:val="00C817C1"/>
    <w:rsid w:val="00C81D69"/>
    <w:rsid w:val="00C826CC"/>
    <w:rsid w:val="00C82789"/>
    <w:rsid w:val="00C829C3"/>
    <w:rsid w:val="00C829EE"/>
    <w:rsid w:val="00C82F93"/>
    <w:rsid w:val="00C8335A"/>
    <w:rsid w:val="00C83D2F"/>
    <w:rsid w:val="00C842E4"/>
    <w:rsid w:val="00C849FC"/>
    <w:rsid w:val="00C84D92"/>
    <w:rsid w:val="00C85A00"/>
    <w:rsid w:val="00C85B11"/>
    <w:rsid w:val="00C85C01"/>
    <w:rsid w:val="00C85CA6"/>
    <w:rsid w:val="00C85EC3"/>
    <w:rsid w:val="00C86428"/>
    <w:rsid w:val="00C8649C"/>
    <w:rsid w:val="00C8680A"/>
    <w:rsid w:val="00C86901"/>
    <w:rsid w:val="00C8738B"/>
    <w:rsid w:val="00C87B10"/>
    <w:rsid w:val="00C90408"/>
    <w:rsid w:val="00C90CED"/>
    <w:rsid w:val="00C9122E"/>
    <w:rsid w:val="00C9151B"/>
    <w:rsid w:val="00C918BB"/>
    <w:rsid w:val="00C91A56"/>
    <w:rsid w:val="00C92225"/>
    <w:rsid w:val="00C9225D"/>
    <w:rsid w:val="00C92529"/>
    <w:rsid w:val="00C92C97"/>
    <w:rsid w:val="00C92E5A"/>
    <w:rsid w:val="00C93906"/>
    <w:rsid w:val="00C93EF1"/>
    <w:rsid w:val="00C940C9"/>
    <w:rsid w:val="00C950E9"/>
    <w:rsid w:val="00C9510A"/>
    <w:rsid w:val="00C95123"/>
    <w:rsid w:val="00C9514B"/>
    <w:rsid w:val="00C95551"/>
    <w:rsid w:val="00C9589B"/>
    <w:rsid w:val="00C95EA8"/>
    <w:rsid w:val="00C9697C"/>
    <w:rsid w:val="00C969B8"/>
    <w:rsid w:val="00C96AB9"/>
    <w:rsid w:val="00C9743F"/>
    <w:rsid w:val="00C97A9B"/>
    <w:rsid w:val="00C97D27"/>
    <w:rsid w:val="00CA07DA"/>
    <w:rsid w:val="00CA0CF6"/>
    <w:rsid w:val="00CA13E3"/>
    <w:rsid w:val="00CA1534"/>
    <w:rsid w:val="00CA2057"/>
    <w:rsid w:val="00CA20A2"/>
    <w:rsid w:val="00CA2137"/>
    <w:rsid w:val="00CA2538"/>
    <w:rsid w:val="00CA2A1B"/>
    <w:rsid w:val="00CA2C1B"/>
    <w:rsid w:val="00CA323A"/>
    <w:rsid w:val="00CA34BF"/>
    <w:rsid w:val="00CA3EEC"/>
    <w:rsid w:val="00CA4523"/>
    <w:rsid w:val="00CA4731"/>
    <w:rsid w:val="00CA48CE"/>
    <w:rsid w:val="00CA5127"/>
    <w:rsid w:val="00CA5CCE"/>
    <w:rsid w:val="00CA697C"/>
    <w:rsid w:val="00CA6A97"/>
    <w:rsid w:val="00CA6B1A"/>
    <w:rsid w:val="00CA735B"/>
    <w:rsid w:val="00CA7BA4"/>
    <w:rsid w:val="00CA7DA8"/>
    <w:rsid w:val="00CA7DF2"/>
    <w:rsid w:val="00CB0146"/>
    <w:rsid w:val="00CB02C8"/>
    <w:rsid w:val="00CB0AE4"/>
    <w:rsid w:val="00CB1425"/>
    <w:rsid w:val="00CB1519"/>
    <w:rsid w:val="00CB194E"/>
    <w:rsid w:val="00CB20BF"/>
    <w:rsid w:val="00CB2902"/>
    <w:rsid w:val="00CB292F"/>
    <w:rsid w:val="00CB296B"/>
    <w:rsid w:val="00CB3D7D"/>
    <w:rsid w:val="00CB3E36"/>
    <w:rsid w:val="00CB4649"/>
    <w:rsid w:val="00CB55D6"/>
    <w:rsid w:val="00CB5BC2"/>
    <w:rsid w:val="00CB5D61"/>
    <w:rsid w:val="00CB5FA0"/>
    <w:rsid w:val="00CB6A52"/>
    <w:rsid w:val="00CB6A70"/>
    <w:rsid w:val="00CC00D6"/>
    <w:rsid w:val="00CC0F24"/>
    <w:rsid w:val="00CC2021"/>
    <w:rsid w:val="00CC276F"/>
    <w:rsid w:val="00CC2812"/>
    <w:rsid w:val="00CC2813"/>
    <w:rsid w:val="00CC2CBA"/>
    <w:rsid w:val="00CC318E"/>
    <w:rsid w:val="00CC31DA"/>
    <w:rsid w:val="00CC35A0"/>
    <w:rsid w:val="00CC382E"/>
    <w:rsid w:val="00CC3DBD"/>
    <w:rsid w:val="00CC3E1D"/>
    <w:rsid w:val="00CC406D"/>
    <w:rsid w:val="00CC43DC"/>
    <w:rsid w:val="00CC4C13"/>
    <w:rsid w:val="00CC620D"/>
    <w:rsid w:val="00CC6B25"/>
    <w:rsid w:val="00CC6E81"/>
    <w:rsid w:val="00CC6F13"/>
    <w:rsid w:val="00CC7108"/>
    <w:rsid w:val="00CC756A"/>
    <w:rsid w:val="00CC7B37"/>
    <w:rsid w:val="00CD11AE"/>
    <w:rsid w:val="00CD16BA"/>
    <w:rsid w:val="00CD1F11"/>
    <w:rsid w:val="00CD22D4"/>
    <w:rsid w:val="00CD2652"/>
    <w:rsid w:val="00CD2AF2"/>
    <w:rsid w:val="00CD4734"/>
    <w:rsid w:val="00CD4CCC"/>
    <w:rsid w:val="00CD552E"/>
    <w:rsid w:val="00CD5F60"/>
    <w:rsid w:val="00CD6956"/>
    <w:rsid w:val="00CD6D24"/>
    <w:rsid w:val="00CD7478"/>
    <w:rsid w:val="00CD789E"/>
    <w:rsid w:val="00CD7DAE"/>
    <w:rsid w:val="00CD7DF2"/>
    <w:rsid w:val="00CD7E1A"/>
    <w:rsid w:val="00CD7E4D"/>
    <w:rsid w:val="00CE0068"/>
    <w:rsid w:val="00CE0CA1"/>
    <w:rsid w:val="00CE0D88"/>
    <w:rsid w:val="00CE0DFC"/>
    <w:rsid w:val="00CE1665"/>
    <w:rsid w:val="00CE16FC"/>
    <w:rsid w:val="00CE1B60"/>
    <w:rsid w:val="00CE1BAE"/>
    <w:rsid w:val="00CE1BEB"/>
    <w:rsid w:val="00CE2384"/>
    <w:rsid w:val="00CE2C9E"/>
    <w:rsid w:val="00CE2EB8"/>
    <w:rsid w:val="00CE3355"/>
    <w:rsid w:val="00CE34F6"/>
    <w:rsid w:val="00CE3CEB"/>
    <w:rsid w:val="00CE4706"/>
    <w:rsid w:val="00CE51A7"/>
    <w:rsid w:val="00CE6F57"/>
    <w:rsid w:val="00CE72D9"/>
    <w:rsid w:val="00CE770A"/>
    <w:rsid w:val="00CF066E"/>
    <w:rsid w:val="00CF12A4"/>
    <w:rsid w:val="00CF2221"/>
    <w:rsid w:val="00CF26AD"/>
    <w:rsid w:val="00CF32DF"/>
    <w:rsid w:val="00CF33F9"/>
    <w:rsid w:val="00CF3A28"/>
    <w:rsid w:val="00CF4545"/>
    <w:rsid w:val="00CF48C1"/>
    <w:rsid w:val="00CF4930"/>
    <w:rsid w:val="00CF505B"/>
    <w:rsid w:val="00CF5C33"/>
    <w:rsid w:val="00CF5E0E"/>
    <w:rsid w:val="00CF622D"/>
    <w:rsid w:val="00CF6C2B"/>
    <w:rsid w:val="00CF75B6"/>
    <w:rsid w:val="00CF7BDA"/>
    <w:rsid w:val="00D00106"/>
    <w:rsid w:val="00D009BB"/>
    <w:rsid w:val="00D01321"/>
    <w:rsid w:val="00D01848"/>
    <w:rsid w:val="00D02C9D"/>
    <w:rsid w:val="00D030E7"/>
    <w:rsid w:val="00D03B5B"/>
    <w:rsid w:val="00D0412D"/>
    <w:rsid w:val="00D04A4D"/>
    <w:rsid w:val="00D04A55"/>
    <w:rsid w:val="00D0574F"/>
    <w:rsid w:val="00D05761"/>
    <w:rsid w:val="00D05919"/>
    <w:rsid w:val="00D05E65"/>
    <w:rsid w:val="00D06124"/>
    <w:rsid w:val="00D061BE"/>
    <w:rsid w:val="00D061BF"/>
    <w:rsid w:val="00D0678E"/>
    <w:rsid w:val="00D06A3F"/>
    <w:rsid w:val="00D06D27"/>
    <w:rsid w:val="00D074A6"/>
    <w:rsid w:val="00D07811"/>
    <w:rsid w:val="00D07B46"/>
    <w:rsid w:val="00D07E93"/>
    <w:rsid w:val="00D07EDE"/>
    <w:rsid w:val="00D10540"/>
    <w:rsid w:val="00D10904"/>
    <w:rsid w:val="00D10941"/>
    <w:rsid w:val="00D10DA6"/>
    <w:rsid w:val="00D120B0"/>
    <w:rsid w:val="00D123B8"/>
    <w:rsid w:val="00D12E48"/>
    <w:rsid w:val="00D13E1A"/>
    <w:rsid w:val="00D145C3"/>
    <w:rsid w:val="00D14A68"/>
    <w:rsid w:val="00D14BE4"/>
    <w:rsid w:val="00D14F15"/>
    <w:rsid w:val="00D15592"/>
    <w:rsid w:val="00D1561D"/>
    <w:rsid w:val="00D15E67"/>
    <w:rsid w:val="00D15EEB"/>
    <w:rsid w:val="00D162B3"/>
    <w:rsid w:val="00D163D4"/>
    <w:rsid w:val="00D165F6"/>
    <w:rsid w:val="00D16BE1"/>
    <w:rsid w:val="00D170C2"/>
    <w:rsid w:val="00D17521"/>
    <w:rsid w:val="00D17A05"/>
    <w:rsid w:val="00D17DA7"/>
    <w:rsid w:val="00D17F31"/>
    <w:rsid w:val="00D17FF3"/>
    <w:rsid w:val="00D20031"/>
    <w:rsid w:val="00D215F0"/>
    <w:rsid w:val="00D21B8A"/>
    <w:rsid w:val="00D21DFF"/>
    <w:rsid w:val="00D22110"/>
    <w:rsid w:val="00D22AFD"/>
    <w:rsid w:val="00D22BBA"/>
    <w:rsid w:val="00D22C52"/>
    <w:rsid w:val="00D23478"/>
    <w:rsid w:val="00D23A8C"/>
    <w:rsid w:val="00D2588E"/>
    <w:rsid w:val="00D25BB9"/>
    <w:rsid w:val="00D25C4F"/>
    <w:rsid w:val="00D26319"/>
    <w:rsid w:val="00D26983"/>
    <w:rsid w:val="00D278E7"/>
    <w:rsid w:val="00D27EEE"/>
    <w:rsid w:val="00D30066"/>
    <w:rsid w:val="00D301A1"/>
    <w:rsid w:val="00D301D3"/>
    <w:rsid w:val="00D3023F"/>
    <w:rsid w:val="00D30745"/>
    <w:rsid w:val="00D30C3C"/>
    <w:rsid w:val="00D30FD8"/>
    <w:rsid w:val="00D3115D"/>
    <w:rsid w:val="00D31C34"/>
    <w:rsid w:val="00D31E2F"/>
    <w:rsid w:val="00D32318"/>
    <w:rsid w:val="00D3308F"/>
    <w:rsid w:val="00D3389A"/>
    <w:rsid w:val="00D33F33"/>
    <w:rsid w:val="00D34187"/>
    <w:rsid w:val="00D3419E"/>
    <w:rsid w:val="00D352E8"/>
    <w:rsid w:val="00D353E5"/>
    <w:rsid w:val="00D359BB"/>
    <w:rsid w:val="00D35A3C"/>
    <w:rsid w:val="00D36D89"/>
    <w:rsid w:val="00D379DA"/>
    <w:rsid w:val="00D37A6D"/>
    <w:rsid w:val="00D40232"/>
    <w:rsid w:val="00D40391"/>
    <w:rsid w:val="00D41409"/>
    <w:rsid w:val="00D425DC"/>
    <w:rsid w:val="00D42A8F"/>
    <w:rsid w:val="00D433FA"/>
    <w:rsid w:val="00D43798"/>
    <w:rsid w:val="00D43C92"/>
    <w:rsid w:val="00D44177"/>
    <w:rsid w:val="00D44A6F"/>
    <w:rsid w:val="00D44BF5"/>
    <w:rsid w:val="00D455C8"/>
    <w:rsid w:val="00D460A7"/>
    <w:rsid w:val="00D4635C"/>
    <w:rsid w:val="00D47746"/>
    <w:rsid w:val="00D47B9F"/>
    <w:rsid w:val="00D5035D"/>
    <w:rsid w:val="00D503F5"/>
    <w:rsid w:val="00D50994"/>
    <w:rsid w:val="00D516B9"/>
    <w:rsid w:val="00D52524"/>
    <w:rsid w:val="00D53627"/>
    <w:rsid w:val="00D53674"/>
    <w:rsid w:val="00D53C8D"/>
    <w:rsid w:val="00D542F7"/>
    <w:rsid w:val="00D54446"/>
    <w:rsid w:val="00D553C9"/>
    <w:rsid w:val="00D55579"/>
    <w:rsid w:val="00D56A9C"/>
    <w:rsid w:val="00D57913"/>
    <w:rsid w:val="00D57F40"/>
    <w:rsid w:val="00D6032C"/>
    <w:rsid w:val="00D60E30"/>
    <w:rsid w:val="00D617E5"/>
    <w:rsid w:val="00D619F1"/>
    <w:rsid w:val="00D61C3F"/>
    <w:rsid w:val="00D61D59"/>
    <w:rsid w:val="00D61D9D"/>
    <w:rsid w:val="00D62B6E"/>
    <w:rsid w:val="00D6339A"/>
    <w:rsid w:val="00D64948"/>
    <w:rsid w:val="00D64B36"/>
    <w:rsid w:val="00D65063"/>
    <w:rsid w:val="00D65795"/>
    <w:rsid w:val="00D6593E"/>
    <w:rsid w:val="00D65FEF"/>
    <w:rsid w:val="00D6681F"/>
    <w:rsid w:val="00D66E4D"/>
    <w:rsid w:val="00D66FED"/>
    <w:rsid w:val="00D67F25"/>
    <w:rsid w:val="00D70134"/>
    <w:rsid w:val="00D703A2"/>
    <w:rsid w:val="00D708D8"/>
    <w:rsid w:val="00D712DE"/>
    <w:rsid w:val="00D71422"/>
    <w:rsid w:val="00D71925"/>
    <w:rsid w:val="00D72D01"/>
    <w:rsid w:val="00D731B1"/>
    <w:rsid w:val="00D73663"/>
    <w:rsid w:val="00D737E6"/>
    <w:rsid w:val="00D740B2"/>
    <w:rsid w:val="00D744BA"/>
    <w:rsid w:val="00D7465A"/>
    <w:rsid w:val="00D74AC3"/>
    <w:rsid w:val="00D751CD"/>
    <w:rsid w:val="00D75564"/>
    <w:rsid w:val="00D75A08"/>
    <w:rsid w:val="00D777DD"/>
    <w:rsid w:val="00D778B4"/>
    <w:rsid w:val="00D8069A"/>
    <w:rsid w:val="00D80E48"/>
    <w:rsid w:val="00D8128C"/>
    <w:rsid w:val="00D8131C"/>
    <w:rsid w:val="00D81C59"/>
    <w:rsid w:val="00D8230E"/>
    <w:rsid w:val="00D827F8"/>
    <w:rsid w:val="00D82C74"/>
    <w:rsid w:val="00D8336F"/>
    <w:rsid w:val="00D83A1B"/>
    <w:rsid w:val="00D83D7D"/>
    <w:rsid w:val="00D83FE9"/>
    <w:rsid w:val="00D84367"/>
    <w:rsid w:val="00D867A3"/>
    <w:rsid w:val="00D869FE"/>
    <w:rsid w:val="00D87236"/>
    <w:rsid w:val="00D875A0"/>
    <w:rsid w:val="00D87608"/>
    <w:rsid w:val="00D877F8"/>
    <w:rsid w:val="00D9029E"/>
    <w:rsid w:val="00D908D8"/>
    <w:rsid w:val="00D90E5D"/>
    <w:rsid w:val="00D9122B"/>
    <w:rsid w:val="00D9128C"/>
    <w:rsid w:val="00D918A1"/>
    <w:rsid w:val="00D91A56"/>
    <w:rsid w:val="00D91F24"/>
    <w:rsid w:val="00D91F8E"/>
    <w:rsid w:val="00D9235C"/>
    <w:rsid w:val="00D9252F"/>
    <w:rsid w:val="00D92DB7"/>
    <w:rsid w:val="00D933B0"/>
    <w:rsid w:val="00D93DE6"/>
    <w:rsid w:val="00D93EA6"/>
    <w:rsid w:val="00D940DC"/>
    <w:rsid w:val="00D94223"/>
    <w:rsid w:val="00D94387"/>
    <w:rsid w:val="00D95C64"/>
    <w:rsid w:val="00D96200"/>
    <w:rsid w:val="00D9692E"/>
    <w:rsid w:val="00DA00FE"/>
    <w:rsid w:val="00DA0A74"/>
    <w:rsid w:val="00DA1403"/>
    <w:rsid w:val="00DA14A9"/>
    <w:rsid w:val="00DA1C5C"/>
    <w:rsid w:val="00DA1D8F"/>
    <w:rsid w:val="00DA1E62"/>
    <w:rsid w:val="00DA27A0"/>
    <w:rsid w:val="00DA2933"/>
    <w:rsid w:val="00DA2E92"/>
    <w:rsid w:val="00DA2FEE"/>
    <w:rsid w:val="00DA40C1"/>
    <w:rsid w:val="00DA40D8"/>
    <w:rsid w:val="00DA435C"/>
    <w:rsid w:val="00DA5A33"/>
    <w:rsid w:val="00DA5E02"/>
    <w:rsid w:val="00DA619D"/>
    <w:rsid w:val="00DA6445"/>
    <w:rsid w:val="00DB016B"/>
    <w:rsid w:val="00DB023A"/>
    <w:rsid w:val="00DB028C"/>
    <w:rsid w:val="00DB058B"/>
    <w:rsid w:val="00DB0E6D"/>
    <w:rsid w:val="00DB0F6C"/>
    <w:rsid w:val="00DB1554"/>
    <w:rsid w:val="00DB1568"/>
    <w:rsid w:val="00DB1686"/>
    <w:rsid w:val="00DB2316"/>
    <w:rsid w:val="00DB2626"/>
    <w:rsid w:val="00DB26D2"/>
    <w:rsid w:val="00DB3255"/>
    <w:rsid w:val="00DB397B"/>
    <w:rsid w:val="00DB3BF5"/>
    <w:rsid w:val="00DB4A71"/>
    <w:rsid w:val="00DB4C01"/>
    <w:rsid w:val="00DB5290"/>
    <w:rsid w:val="00DB55CB"/>
    <w:rsid w:val="00DB608C"/>
    <w:rsid w:val="00DB6744"/>
    <w:rsid w:val="00DB67B1"/>
    <w:rsid w:val="00DB6C7C"/>
    <w:rsid w:val="00DB6D1C"/>
    <w:rsid w:val="00DB7224"/>
    <w:rsid w:val="00DB724F"/>
    <w:rsid w:val="00DC04A3"/>
    <w:rsid w:val="00DC0D8A"/>
    <w:rsid w:val="00DC0F31"/>
    <w:rsid w:val="00DC25C0"/>
    <w:rsid w:val="00DC2848"/>
    <w:rsid w:val="00DC3C58"/>
    <w:rsid w:val="00DC3CBB"/>
    <w:rsid w:val="00DC4317"/>
    <w:rsid w:val="00DC4449"/>
    <w:rsid w:val="00DC4F27"/>
    <w:rsid w:val="00DC4F95"/>
    <w:rsid w:val="00DC6324"/>
    <w:rsid w:val="00DC63AA"/>
    <w:rsid w:val="00DC6590"/>
    <w:rsid w:val="00DC669F"/>
    <w:rsid w:val="00DC6FE3"/>
    <w:rsid w:val="00DC7E60"/>
    <w:rsid w:val="00DD05C5"/>
    <w:rsid w:val="00DD0C5B"/>
    <w:rsid w:val="00DD12EA"/>
    <w:rsid w:val="00DD1E4C"/>
    <w:rsid w:val="00DD2B1A"/>
    <w:rsid w:val="00DD2E5F"/>
    <w:rsid w:val="00DD363A"/>
    <w:rsid w:val="00DD36E7"/>
    <w:rsid w:val="00DD3D5A"/>
    <w:rsid w:val="00DD3E27"/>
    <w:rsid w:val="00DD3F7C"/>
    <w:rsid w:val="00DD492A"/>
    <w:rsid w:val="00DD52B0"/>
    <w:rsid w:val="00DD60F8"/>
    <w:rsid w:val="00DD6BAB"/>
    <w:rsid w:val="00DE008A"/>
    <w:rsid w:val="00DE042F"/>
    <w:rsid w:val="00DE0795"/>
    <w:rsid w:val="00DE099C"/>
    <w:rsid w:val="00DE1744"/>
    <w:rsid w:val="00DE23B5"/>
    <w:rsid w:val="00DE254B"/>
    <w:rsid w:val="00DE2DF4"/>
    <w:rsid w:val="00DE347A"/>
    <w:rsid w:val="00DE369E"/>
    <w:rsid w:val="00DE39C5"/>
    <w:rsid w:val="00DE3CD4"/>
    <w:rsid w:val="00DE3DB4"/>
    <w:rsid w:val="00DE3EE9"/>
    <w:rsid w:val="00DE4266"/>
    <w:rsid w:val="00DE461B"/>
    <w:rsid w:val="00DE5761"/>
    <w:rsid w:val="00DE5ACF"/>
    <w:rsid w:val="00DE5D5B"/>
    <w:rsid w:val="00DE618F"/>
    <w:rsid w:val="00DE641C"/>
    <w:rsid w:val="00DE73D0"/>
    <w:rsid w:val="00DE7474"/>
    <w:rsid w:val="00DE766F"/>
    <w:rsid w:val="00DE77BD"/>
    <w:rsid w:val="00DE7C47"/>
    <w:rsid w:val="00DF01AC"/>
    <w:rsid w:val="00DF0841"/>
    <w:rsid w:val="00DF0A02"/>
    <w:rsid w:val="00DF0A96"/>
    <w:rsid w:val="00DF0BD6"/>
    <w:rsid w:val="00DF1936"/>
    <w:rsid w:val="00DF293A"/>
    <w:rsid w:val="00DF3789"/>
    <w:rsid w:val="00DF3B63"/>
    <w:rsid w:val="00DF3CA5"/>
    <w:rsid w:val="00DF3E40"/>
    <w:rsid w:val="00DF50E0"/>
    <w:rsid w:val="00DF57BF"/>
    <w:rsid w:val="00DF5BAC"/>
    <w:rsid w:val="00DF6404"/>
    <w:rsid w:val="00DF66EF"/>
    <w:rsid w:val="00DF6C8D"/>
    <w:rsid w:val="00DF74E1"/>
    <w:rsid w:val="00DF7830"/>
    <w:rsid w:val="00DF7DE0"/>
    <w:rsid w:val="00E01327"/>
    <w:rsid w:val="00E0195A"/>
    <w:rsid w:val="00E01A60"/>
    <w:rsid w:val="00E01E32"/>
    <w:rsid w:val="00E02AF8"/>
    <w:rsid w:val="00E02DD3"/>
    <w:rsid w:val="00E03F43"/>
    <w:rsid w:val="00E041CC"/>
    <w:rsid w:val="00E0484E"/>
    <w:rsid w:val="00E049BB"/>
    <w:rsid w:val="00E05089"/>
    <w:rsid w:val="00E052FC"/>
    <w:rsid w:val="00E05E44"/>
    <w:rsid w:val="00E07966"/>
    <w:rsid w:val="00E10031"/>
    <w:rsid w:val="00E102B6"/>
    <w:rsid w:val="00E10BCF"/>
    <w:rsid w:val="00E110D7"/>
    <w:rsid w:val="00E11110"/>
    <w:rsid w:val="00E12929"/>
    <w:rsid w:val="00E130F6"/>
    <w:rsid w:val="00E138B4"/>
    <w:rsid w:val="00E1418D"/>
    <w:rsid w:val="00E143AB"/>
    <w:rsid w:val="00E14ADA"/>
    <w:rsid w:val="00E1560F"/>
    <w:rsid w:val="00E15953"/>
    <w:rsid w:val="00E15D4E"/>
    <w:rsid w:val="00E16310"/>
    <w:rsid w:val="00E16520"/>
    <w:rsid w:val="00E16766"/>
    <w:rsid w:val="00E167B6"/>
    <w:rsid w:val="00E1693D"/>
    <w:rsid w:val="00E16C9F"/>
    <w:rsid w:val="00E174B1"/>
    <w:rsid w:val="00E1761C"/>
    <w:rsid w:val="00E1784A"/>
    <w:rsid w:val="00E17DA1"/>
    <w:rsid w:val="00E17E52"/>
    <w:rsid w:val="00E201BD"/>
    <w:rsid w:val="00E202B8"/>
    <w:rsid w:val="00E202F4"/>
    <w:rsid w:val="00E20B90"/>
    <w:rsid w:val="00E20F6C"/>
    <w:rsid w:val="00E212FD"/>
    <w:rsid w:val="00E21332"/>
    <w:rsid w:val="00E21C89"/>
    <w:rsid w:val="00E22511"/>
    <w:rsid w:val="00E2268D"/>
    <w:rsid w:val="00E22824"/>
    <w:rsid w:val="00E22A0D"/>
    <w:rsid w:val="00E22A9B"/>
    <w:rsid w:val="00E22D3E"/>
    <w:rsid w:val="00E232EA"/>
    <w:rsid w:val="00E233B1"/>
    <w:rsid w:val="00E2397B"/>
    <w:rsid w:val="00E239C9"/>
    <w:rsid w:val="00E23A17"/>
    <w:rsid w:val="00E23CAB"/>
    <w:rsid w:val="00E24558"/>
    <w:rsid w:val="00E252C7"/>
    <w:rsid w:val="00E25CEE"/>
    <w:rsid w:val="00E26C5A"/>
    <w:rsid w:val="00E26C80"/>
    <w:rsid w:val="00E270B2"/>
    <w:rsid w:val="00E272AE"/>
    <w:rsid w:val="00E27CBB"/>
    <w:rsid w:val="00E30B66"/>
    <w:rsid w:val="00E30D58"/>
    <w:rsid w:val="00E30DFC"/>
    <w:rsid w:val="00E30E14"/>
    <w:rsid w:val="00E312D7"/>
    <w:rsid w:val="00E31576"/>
    <w:rsid w:val="00E31849"/>
    <w:rsid w:val="00E323EC"/>
    <w:rsid w:val="00E3254C"/>
    <w:rsid w:val="00E32F7B"/>
    <w:rsid w:val="00E33465"/>
    <w:rsid w:val="00E33CD7"/>
    <w:rsid w:val="00E34316"/>
    <w:rsid w:val="00E34A15"/>
    <w:rsid w:val="00E34AD3"/>
    <w:rsid w:val="00E35581"/>
    <w:rsid w:val="00E366AA"/>
    <w:rsid w:val="00E372A5"/>
    <w:rsid w:val="00E3775E"/>
    <w:rsid w:val="00E37918"/>
    <w:rsid w:val="00E406A0"/>
    <w:rsid w:val="00E40EEE"/>
    <w:rsid w:val="00E415EF"/>
    <w:rsid w:val="00E41965"/>
    <w:rsid w:val="00E42662"/>
    <w:rsid w:val="00E42C2E"/>
    <w:rsid w:val="00E43263"/>
    <w:rsid w:val="00E43656"/>
    <w:rsid w:val="00E43F1D"/>
    <w:rsid w:val="00E43F74"/>
    <w:rsid w:val="00E44293"/>
    <w:rsid w:val="00E44575"/>
    <w:rsid w:val="00E4547C"/>
    <w:rsid w:val="00E45725"/>
    <w:rsid w:val="00E45AA6"/>
    <w:rsid w:val="00E45D6A"/>
    <w:rsid w:val="00E4663C"/>
    <w:rsid w:val="00E467CC"/>
    <w:rsid w:val="00E4696E"/>
    <w:rsid w:val="00E47B48"/>
    <w:rsid w:val="00E47E1D"/>
    <w:rsid w:val="00E47FE5"/>
    <w:rsid w:val="00E507E9"/>
    <w:rsid w:val="00E50F2C"/>
    <w:rsid w:val="00E51418"/>
    <w:rsid w:val="00E517FC"/>
    <w:rsid w:val="00E51DA7"/>
    <w:rsid w:val="00E533B2"/>
    <w:rsid w:val="00E54175"/>
    <w:rsid w:val="00E541F7"/>
    <w:rsid w:val="00E543C8"/>
    <w:rsid w:val="00E55223"/>
    <w:rsid w:val="00E56188"/>
    <w:rsid w:val="00E56519"/>
    <w:rsid w:val="00E56AD5"/>
    <w:rsid w:val="00E57305"/>
    <w:rsid w:val="00E5782F"/>
    <w:rsid w:val="00E579CA"/>
    <w:rsid w:val="00E57D7F"/>
    <w:rsid w:val="00E60E7D"/>
    <w:rsid w:val="00E61418"/>
    <w:rsid w:val="00E61484"/>
    <w:rsid w:val="00E614F9"/>
    <w:rsid w:val="00E61634"/>
    <w:rsid w:val="00E61AD0"/>
    <w:rsid w:val="00E62345"/>
    <w:rsid w:val="00E6279E"/>
    <w:rsid w:val="00E628B4"/>
    <w:rsid w:val="00E628BC"/>
    <w:rsid w:val="00E62C39"/>
    <w:rsid w:val="00E62FFC"/>
    <w:rsid w:val="00E631BC"/>
    <w:rsid w:val="00E6326B"/>
    <w:rsid w:val="00E63A40"/>
    <w:rsid w:val="00E64641"/>
    <w:rsid w:val="00E64DDC"/>
    <w:rsid w:val="00E652A6"/>
    <w:rsid w:val="00E65394"/>
    <w:rsid w:val="00E65472"/>
    <w:rsid w:val="00E66211"/>
    <w:rsid w:val="00E663A9"/>
    <w:rsid w:val="00E664A9"/>
    <w:rsid w:val="00E66CB3"/>
    <w:rsid w:val="00E66F67"/>
    <w:rsid w:val="00E66FE2"/>
    <w:rsid w:val="00E67ACD"/>
    <w:rsid w:val="00E7021A"/>
    <w:rsid w:val="00E70FEC"/>
    <w:rsid w:val="00E7109E"/>
    <w:rsid w:val="00E713C8"/>
    <w:rsid w:val="00E713CD"/>
    <w:rsid w:val="00E715B1"/>
    <w:rsid w:val="00E71F74"/>
    <w:rsid w:val="00E721FF"/>
    <w:rsid w:val="00E72222"/>
    <w:rsid w:val="00E729F8"/>
    <w:rsid w:val="00E72C90"/>
    <w:rsid w:val="00E72E59"/>
    <w:rsid w:val="00E73176"/>
    <w:rsid w:val="00E731F6"/>
    <w:rsid w:val="00E733E0"/>
    <w:rsid w:val="00E734F0"/>
    <w:rsid w:val="00E73951"/>
    <w:rsid w:val="00E73C4B"/>
    <w:rsid w:val="00E74346"/>
    <w:rsid w:val="00E74529"/>
    <w:rsid w:val="00E74644"/>
    <w:rsid w:val="00E74C01"/>
    <w:rsid w:val="00E75A5B"/>
    <w:rsid w:val="00E75A98"/>
    <w:rsid w:val="00E75B83"/>
    <w:rsid w:val="00E764C8"/>
    <w:rsid w:val="00E775F8"/>
    <w:rsid w:val="00E776B6"/>
    <w:rsid w:val="00E7795E"/>
    <w:rsid w:val="00E77A2B"/>
    <w:rsid w:val="00E801F8"/>
    <w:rsid w:val="00E80324"/>
    <w:rsid w:val="00E8045F"/>
    <w:rsid w:val="00E80F71"/>
    <w:rsid w:val="00E8164A"/>
    <w:rsid w:val="00E816F0"/>
    <w:rsid w:val="00E818FD"/>
    <w:rsid w:val="00E819BE"/>
    <w:rsid w:val="00E81ADC"/>
    <w:rsid w:val="00E81FA0"/>
    <w:rsid w:val="00E8212A"/>
    <w:rsid w:val="00E8262C"/>
    <w:rsid w:val="00E8280A"/>
    <w:rsid w:val="00E832E2"/>
    <w:rsid w:val="00E835C5"/>
    <w:rsid w:val="00E83A6C"/>
    <w:rsid w:val="00E83C94"/>
    <w:rsid w:val="00E842AC"/>
    <w:rsid w:val="00E85D70"/>
    <w:rsid w:val="00E85D8A"/>
    <w:rsid w:val="00E85EF1"/>
    <w:rsid w:val="00E86043"/>
    <w:rsid w:val="00E86945"/>
    <w:rsid w:val="00E8733E"/>
    <w:rsid w:val="00E87B00"/>
    <w:rsid w:val="00E87E9C"/>
    <w:rsid w:val="00E908B5"/>
    <w:rsid w:val="00E90A66"/>
    <w:rsid w:val="00E915C8"/>
    <w:rsid w:val="00E91674"/>
    <w:rsid w:val="00E917D3"/>
    <w:rsid w:val="00E918FA"/>
    <w:rsid w:val="00E920A2"/>
    <w:rsid w:val="00E923AB"/>
    <w:rsid w:val="00E926C1"/>
    <w:rsid w:val="00E92869"/>
    <w:rsid w:val="00E93A92"/>
    <w:rsid w:val="00E93AF7"/>
    <w:rsid w:val="00E941D9"/>
    <w:rsid w:val="00E9527B"/>
    <w:rsid w:val="00E95297"/>
    <w:rsid w:val="00E95A48"/>
    <w:rsid w:val="00E96702"/>
    <w:rsid w:val="00E96C47"/>
    <w:rsid w:val="00E9725E"/>
    <w:rsid w:val="00E97591"/>
    <w:rsid w:val="00E97813"/>
    <w:rsid w:val="00E97DD3"/>
    <w:rsid w:val="00EA0313"/>
    <w:rsid w:val="00EA03BD"/>
    <w:rsid w:val="00EA11B3"/>
    <w:rsid w:val="00EA2266"/>
    <w:rsid w:val="00EA2B45"/>
    <w:rsid w:val="00EA36D9"/>
    <w:rsid w:val="00EA3862"/>
    <w:rsid w:val="00EA3C31"/>
    <w:rsid w:val="00EA3E99"/>
    <w:rsid w:val="00EA4032"/>
    <w:rsid w:val="00EA4EA0"/>
    <w:rsid w:val="00EA52F3"/>
    <w:rsid w:val="00EA559F"/>
    <w:rsid w:val="00EA5C08"/>
    <w:rsid w:val="00EA5E88"/>
    <w:rsid w:val="00EA67F7"/>
    <w:rsid w:val="00EB0174"/>
    <w:rsid w:val="00EB03BE"/>
    <w:rsid w:val="00EB0856"/>
    <w:rsid w:val="00EB1652"/>
    <w:rsid w:val="00EB17A5"/>
    <w:rsid w:val="00EB17B0"/>
    <w:rsid w:val="00EB1E82"/>
    <w:rsid w:val="00EB2827"/>
    <w:rsid w:val="00EB2E5D"/>
    <w:rsid w:val="00EB4C42"/>
    <w:rsid w:val="00EB5661"/>
    <w:rsid w:val="00EB5FE5"/>
    <w:rsid w:val="00EB67A7"/>
    <w:rsid w:val="00EB67F8"/>
    <w:rsid w:val="00EB6B99"/>
    <w:rsid w:val="00EB6F2B"/>
    <w:rsid w:val="00EB756E"/>
    <w:rsid w:val="00EB7C44"/>
    <w:rsid w:val="00EB7E13"/>
    <w:rsid w:val="00EB7E2C"/>
    <w:rsid w:val="00EC050F"/>
    <w:rsid w:val="00EC0898"/>
    <w:rsid w:val="00EC0D58"/>
    <w:rsid w:val="00EC13C4"/>
    <w:rsid w:val="00EC260E"/>
    <w:rsid w:val="00EC2653"/>
    <w:rsid w:val="00EC2AE8"/>
    <w:rsid w:val="00EC2AEA"/>
    <w:rsid w:val="00EC2B3D"/>
    <w:rsid w:val="00EC3997"/>
    <w:rsid w:val="00EC3BEB"/>
    <w:rsid w:val="00EC41FC"/>
    <w:rsid w:val="00EC4E66"/>
    <w:rsid w:val="00EC4EB0"/>
    <w:rsid w:val="00EC5156"/>
    <w:rsid w:val="00EC53AC"/>
    <w:rsid w:val="00EC5406"/>
    <w:rsid w:val="00EC5B95"/>
    <w:rsid w:val="00EC61A9"/>
    <w:rsid w:val="00EC6393"/>
    <w:rsid w:val="00EC676B"/>
    <w:rsid w:val="00EC6F7B"/>
    <w:rsid w:val="00EC71CD"/>
    <w:rsid w:val="00EC7379"/>
    <w:rsid w:val="00ED1971"/>
    <w:rsid w:val="00ED23A0"/>
    <w:rsid w:val="00ED2B41"/>
    <w:rsid w:val="00ED3242"/>
    <w:rsid w:val="00ED3457"/>
    <w:rsid w:val="00ED367A"/>
    <w:rsid w:val="00ED3E38"/>
    <w:rsid w:val="00ED4377"/>
    <w:rsid w:val="00ED48D1"/>
    <w:rsid w:val="00ED4DE7"/>
    <w:rsid w:val="00ED511D"/>
    <w:rsid w:val="00ED515A"/>
    <w:rsid w:val="00ED53EB"/>
    <w:rsid w:val="00ED5F21"/>
    <w:rsid w:val="00ED6386"/>
    <w:rsid w:val="00ED65C4"/>
    <w:rsid w:val="00ED6698"/>
    <w:rsid w:val="00ED6756"/>
    <w:rsid w:val="00ED69E4"/>
    <w:rsid w:val="00ED7452"/>
    <w:rsid w:val="00ED7E17"/>
    <w:rsid w:val="00EE022C"/>
    <w:rsid w:val="00EE074E"/>
    <w:rsid w:val="00EE0F3B"/>
    <w:rsid w:val="00EE1800"/>
    <w:rsid w:val="00EE1CDF"/>
    <w:rsid w:val="00EE1DF3"/>
    <w:rsid w:val="00EE218A"/>
    <w:rsid w:val="00EE2247"/>
    <w:rsid w:val="00EE2404"/>
    <w:rsid w:val="00EE2545"/>
    <w:rsid w:val="00EE2D02"/>
    <w:rsid w:val="00EE3028"/>
    <w:rsid w:val="00EE3493"/>
    <w:rsid w:val="00EE38B8"/>
    <w:rsid w:val="00EE3AC8"/>
    <w:rsid w:val="00EE4132"/>
    <w:rsid w:val="00EE4EF0"/>
    <w:rsid w:val="00EE5BF3"/>
    <w:rsid w:val="00EE5EBE"/>
    <w:rsid w:val="00EE5F8D"/>
    <w:rsid w:val="00EE6033"/>
    <w:rsid w:val="00EE668B"/>
    <w:rsid w:val="00EE6B9B"/>
    <w:rsid w:val="00EE71A7"/>
    <w:rsid w:val="00EE72D0"/>
    <w:rsid w:val="00EE76FD"/>
    <w:rsid w:val="00EF0136"/>
    <w:rsid w:val="00EF13A9"/>
    <w:rsid w:val="00EF2117"/>
    <w:rsid w:val="00EF223E"/>
    <w:rsid w:val="00EF251B"/>
    <w:rsid w:val="00EF260F"/>
    <w:rsid w:val="00EF2931"/>
    <w:rsid w:val="00EF2D79"/>
    <w:rsid w:val="00EF3378"/>
    <w:rsid w:val="00EF356B"/>
    <w:rsid w:val="00EF38C8"/>
    <w:rsid w:val="00EF4A11"/>
    <w:rsid w:val="00EF4AD6"/>
    <w:rsid w:val="00EF505C"/>
    <w:rsid w:val="00EF5A41"/>
    <w:rsid w:val="00EF5B59"/>
    <w:rsid w:val="00EF5C9C"/>
    <w:rsid w:val="00EF7E88"/>
    <w:rsid w:val="00F00EBB"/>
    <w:rsid w:val="00F01257"/>
    <w:rsid w:val="00F012D5"/>
    <w:rsid w:val="00F01BD0"/>
    <w:rsid w:val="00F02959"/>
    <w:rsid w:val="00F0322E"/>
    <w:rsid w:val="00F03333"/>
    <w:rsid w:val="00F03E98"/>
    <w:rsid w:val="00F03FE2"/>
    <w:rsid w:val="00F042EA"/>
    <w:rsid w:val="00F04394"/>
    <w:rsid w:val="00F04AD8"/>
    <w:rsid w:val="00F04AFC"/>
    <w:rsid w:val="00F04C2D"/>
    <w:rsid w:val="00F050F3"/>
    <w:rsid w:val="00F05858"/>
    <w:rsid w:val="00F06E98"/>
    <w:rsid w:val="00F07361"/>
    <w:rsid w:val="00F07A32"/>
    <w:rsid w:val="00F07A78"/>
    <w:rsid w:val="00F12389"/>
    <w:rsid w:val="00F134CE"/>
    <w:rsid w:val="00F13CD7"/>
    <w:rsid w:val="00F13DAB"/>
    <w:rsid w:val="00F1456F"/>
    <w:rsid w:val="00F14BAD"/>
    <w:rsid w:val="00F14F58"/>
    <w:rsid w:val="00F15081"/>
    <w:rsid w:val="00F157FF"/>
    <w:rsid w:val="00F15A5D"/>
    <w:rsid w:val="00F16DC7"/>
    <w:rsid w:val="00F17018"/>
    <w:rsid w:val="00F17462"/>
    <w:rsid w:val="00F17909"/>
    <w:rsid w:val="00F17D98"/>
    <w:rsid w:val="00F17F98"/>
    <w:rsid w:val="00F20517"/>
    <w:rsid w:val="00F2286C"/>
    <w:rsid w:val="00F228B4"/>
    <w:rsid w:val="00F22941"/>
    <w:rsid w:val="00F229A1"/>
    <w:rsid w:val="00F22D7F"/>
    <w:rsid w:val="00F23662"/>
    <w:rsid w:val="00F23CFE"/>
    <w:rsid w:val="00F23E56"/>
    <w:rsid w:val="00F24316"/>
    <w:rsid w:val="00F25A0E"/>
    <w:rsid w:val="00F25C76"/>
    <w:rsid w:val="00F25CA2"/>
    <w:rsid w:val="00F25FB1"/>
    <w:rsid w:val="00F260CD"/>
    <w:rsid w:val="00F261B6"/>
    <w:rsid w:val="00F262B2"/>
    <w:rsid w:val="00F264BF"/>
    <w:rsid w:val="00F26EA3"/>
    <w:rsid w:val="00F275C5"/>
    <w:rsid w:val="00F30230"/>
    <w:rsid w:val="00F308F5"/>
    <w:rsid w:val="00F31667"/>
    <w:rsid w:val="00F316E6"/>
    <w:rsid w:val="00F31F9E"/>
    <w:rsid w:val="00F32138"/>
    <w:rsid w:val="00F32339"/>
    <w:rsid w:val="00F33147"/>
    <w:rsid w:val="00F333A1"/>
    <w:rsid w:val="00F3340B"/>
    <w:rsid w:val="00F33A56"/>
    <w:rsid w:val="00F33FC4"/>
    <w:rsid w:val="00F34556"/>
    <w:rsid w:val="00F3491D"/>
    <w:rsid w:val="00F34B3C"/>
    <w:rsid w:val="00F351F0"/>
    <w:rsid w:val="00F356D1"/>
    <w:rsid w:val="00F35A99"/>
    <w:rsid w:val="00F3676F"/>
    <w:rsid w:val="00F36795"/>
    <w:rsid w:val="00F3765B"/>
    <w:rsid w:val="00F37AA3"/>
    <w:rsid w:val="00F405ED"/>
    <w:rsid w:val="00F409BA"/>
    <w:rsid w:val="00F40B1E"/>
    <w:rsid w:val="00F40D6C"/>
    <w:rsid w:val="00F41079"/>
    <w:rsid w:val="00F411C4"/>
    <w:rsid w:val="00F41783"/>
    <w:rsid w:val="00F419E5"/>
    <w:rsid w:val="00F41C25"/>
    <w:rsid w:val="00F4229E"/>
    <w:rsid w:val="00F42571"/>
    <w:rsid w:val="00F42F74"/>
    <w:rsid w:val="00F44430"/>
    <w:rsid w:val="00F4468D"/>
    <w:rsid w:val="00F4611D"/>
    <w:rsid w:val="00F46E60"/>
    <w:rsid w:val="00F4707C"/>
    <w:rsid w:val="00F47B3D"/>
    <w:rsid w:val="00F47B84"/>
    <w:rsid w:val="00F47CB8"/>
    <w:rsid w:val="00F47F5A"/>
    <w:rsid w:val="00F50051"/>
    <w:rsid w:val="00F500AA"/>
    <w:rsid w:val="00F511B5"/>
    <w:rsid w:val="00F52461"/>
    <w:rsid w:val="00F524ED"/>
    <w:rsid w:val="00F52593"/>
    <w:rsid w:val="00F52CE8"/>
    <w:rsid w:val="00F5309A"/>
    <w:rsid w:val="00F537D3"/>
    <w:rsid w:val="00F53D68"/>
    <w:rsid w:val="00F53E4B"/>
    <w:rsid w:val="00F552B7"/>
    <w:rsid w:val="00F5557C"/>
    <w:rsid w:val="00F55704"/>
    <w:rsid w:val="00F559D4"/>
    <w:rsid w:val="00F55D62"/>
    <w:rsid w:val="00F55FA3"/>
    <w:rsid w:val="00F56073"/>
    <w:rsid w:val="00F56300"/>
    <w:rsid w:val="00F564B2"/>
    <w:rsid w:val="00F567FB"/>
    <w:rsid w:val="00F56EB6"/>
    <w:rsid w:val="00F576B4"/>
    <w:rsid w:val="00F576BF"/>
    <w:rsid w:val="00F6020D"/>
    <w:rsid w:val="00F607A4"/>
    <w:rsid w:val="00F6087B"/>
    <w:rsid w:val="00F60B22"/>
    <w:rsid w:val="00F60E80"/>
    <w:rsid w:val="00F60F80"/>
    <w:rsid w:val="00F61464"/>
    <w:rsid w:val="00F6161C"/>
    <w:rsid w:val="00F618E3"/>
    <w:rsid w:val="00F61B3D"/>
    <w:rsid w:val="00F62271"/>
    <w:rsid w:val="00F622AD"/>
    <w:rsid w:val="00F62926"/>
    <w:rsid w:val="00F62984"/>
    <w:rsid w:val="00F62A38"/>
    <w:rsid w:val="00F62D7B"/>
    <w:rsid w:val="00F62EDB"/>
    <w:rsid w:val="00F633EA"/>
    <w:rsid w:val="00F63759"/>
    <w:rsid w:val="00F63EE5"/>
    <w:rsid w:val="00F645F3"/>
    <w:rsid w:val="00F64A19"/>
    <w:rsid w:val="00F64AA5"/>
    <w:rsid w:val="00F65C71"/>
    <w:rsid w:val="00F65C8D"/>
    <w:rsid w:val="00F65E16"/>
    <w:rsid w:val="00F65F3F"/>
    <w:rsid w:val="00F66384"/>
    <w:rsid w:val="00F668B7"/>
    <w:rsid w:val="00F66AF3"/>
    <w:rsid w:val="00F66CB4"/>
    <w:rsid w:val="00F671EB"/>
    <w:rsid w:val="00F672A7"/>
    <w:rsid w:val="00F67385"/>
    <w:rsid w:val="00F70134"/>
    <w:rsid w:val="00F7136D"/>
    <w:rsid w:val="00F71BC9"/>
    <w:rsid w:val="00F72514"/>
    <w:rsid w:val="00F73512"/>
    <w:rsid w:val="00F73C3C"/>
    <w:rsid w:val="00F73D62"/>
    <w:rsid w:val="00F74406"/>
    <w:rsid w:val="00F75608"/>
    <w:rsid w:val="00F75926"/>
    <w:rsid w:val="00F768C7"/>
    <w:rsid w:val="00F7692E"/>
    <w:rsid w:val="00F76B04"/>
    <w:rsid w:val="00F76F67"/>
    <w:rsid w:val="00F7757A"/>
    <w:rsid w:val="00F77680"/>
    <w:rsid w:val="00F779C8"/>
    <w:rsid w:val="00F77C85"/>
    <w:rsid w:val="00F77D53"/>
    <w:rsid w:val="00F77ED0"/>
    <w:rsid w:val="00F8061E"/>
    <w:rsid w:val="00F81030"/>
    <w:rsid w:val="00F8287D"/>
    <w:rsid w:val="00F82DAC"/>
    <w:rsid w:val="00F83008"/>
    <w:rsid w:val="00F83939"/>
    <w:rsid w:val="00F83C9D"/>
    <w:rsid w:val="00F83E9F"/>
    <w:rsid w:val="00F8411D"/>
    <w:rsid w:val="00F84429"/>
    <w:rsid w:val="00F84906"/>
    <w:rsid w:val="00F84BED"/>
    <w:rsid w:val="00F8523E"/>
    <w:rsid w:val="00F85881"/>
    <w:rsid w:val="00F85EDA"/>
    <w:rsid w:val="00F85F6F"/>
    <w:rsid w:val="00F8614F"/>
    <w:rsid w:val="00F87024"/>
    <w:rsid w:val="00F90336"/>
    <w:rsid w:val="00F90337"/>
    <w:rsid w:val="00F90591"/>
    <w:rsid w:val="00F907FF"/>
    <w:rsid w:val="00F910B3"/>
    <w:rsid w:val="00F912D1"/>
    <w:rsid w:val="00F92212"/>
    <w:rsid w:val="00F92409"/>
    <w:rsid w:val="00F92A08"/>
    <w:rsid w:val="00F93A6C"/>
    <w:rsid w:val="00F93D1C"/>
    <w:rsid w:val="00F94FE9"/>
    <w:rsid w:val="00F95AC6"/>
    <w:rsid w:val="00F95E11"/>
    <w:rsid w:val="00F96B16"/>
    <w:rsid w:val="00F9707E"/>
    <w:rsid w:val="00F972C8"/>
    <w:rsid w:val="00F975EE"/>
    <w:rsid w:val="00F97CD3"/>
    <w:rsid w:val="00F97E8C"/>
    <w:rsid w:val="00FA003F"/>
    <w:rsid w:val="00FA0C05"/>
    <w:rsid w:val="00FA0EB3"/>
    <w:rsid w:val="00FA1702"/>
    <w:rsid w:val="00FA1964"/>
    <w:rsid w:val="00FA26A8"/>
    <w:rsid w:val="00FA2C1D"/>
    <w:rsid w:val="00FA2C97"/>
    <w:rsid w:val="00FA41FD"/>
    <w:rsid w:val="00FA427E"/>
    <w:rsid w:val="00FA452F"/>
    <w:rsid w:val="00FA4580"/>
    <w:rsid w:val="00FA49D0"/>
    <w:rsid w:val="00FA4CE2"/>
    <w:rsid w:val="00FA4F63"/>
    <w:rsid w:val="00FA5CB2"/>
    <w:rsid w:val="00FA634A"/>
    <w:rsid w:val="00FA7554"/>
    <w:rsid w:val="00FB008C"/>
    <w:rsid w:val="00FB05EF"/>
    <w:rsid w:val="00FB063B"/>
    <w:rsid w:val="00FB0D8D"/>
    <w:rsid w:val="00FB17D0"/>
    <w:rsid w:val="00FB1AC0"/>
    <w:rsid w:val="00FB2003"/>
    <w:rsid w:val="00FB39C2"/>
    <w:rsid w:val="00FB3EE3"/>
    <w:rsid w:val="00FB4757"/>
    <w:rsid w:val="00FB49E0"/>
    <w:rsid w:val="00FB4B01"/>
    <w:rsid w:val="00FB4DF1"/>
    <w:rsid w:val="00FB4E90"/>
    <w:rsid w:val="00FB511D"/>
    <w:rsid w:val="00FB57CF"/>
    <w:rsid w:val="00FB59A4"/>
    <w:rsid w:val="00FB5DD8"/>
    <w:rsid w:val="00FB6609"/>
    <w:rsid w:val="00FB68C4"/>
    <w:rsid w:val="00FB7443"/>
    <w:rsid w:val="00FB796B"/>
    <w:rsid w:val="00FB7B8A"/>
    <w:rsid w:val="00FB7E60"/>
    <w:rsid w:val="00FC0C64"/>
    <w:rsid w:val="00FC33C8"/>
    <w:rsid w:val="00FC34E4"/>
    <w:rsid w:val="00FC3A88"/>
    <w:rsid w:val="00FC3B25"/>
    <w:rsid w:val="00FC3C71"/>
    <w:rsid w:val="00FC3D59"/>
    <w:rsid w:val="00FC409A"/>
    <w:rsid w:val="00FC4F5B"/>
    <w:rsid w:val="00FC5F21"/>
    <w:rsid w:val="00FC66F3"/>
    <w:rsid w:val="00FC6C14"/>
    <w:rsid w:val="00FC7651"/>
    <w:rsid w:val="00FC7DEF"/>
    <w:rsid w:val="00FD0EF5"/>
    <w:rsid w:val="00FD0FD8"/>
    <w:rsid w:val="00FD26AD"/>
    <w:rsid w:val="00FD2A0F"/>
    <w:rsid w:val="00FD2D05"/>
    <w:rsid w:val="00FD4723"/>
    <w:rsid w:val="00FD4EFB"/>
    <w:rsid w:val="00FD608B"/>
    <w:rsid w:val="00FD7600"/>
    <w:rsid w:val="00FD7D6A"/>
    <w:rsid w:val="00FE0970"/>
    <w:rsid w:val="00FE0E4F"/>
    <w:rsid w:val="00FE0E94"/>
    <w:rsid w:val="00FE176C"/>
    <w:rsid w:val="00FE1B04"/>
    <w:rsid w:val="00FE2AB7"/>
    <w:rsid w:val="00FE2C73"/>
    <w:rsid w:val="00FE365B"/>
    <w:rsid w:val="00FE4027"/>
    <w:rsid w:val="00FE4721"/>
    <w:rsid w:val="00FE5779"/>
    <w:rsid w:val="00FE618C"/>
    <w:rsid w:val="00FE6C20"/>
    <w:rsid w:val="00FE7B44"/>
    <w:rsid w:val="00FF04BD"/>
    <w:rsid w:val="00FF0DF8"/>
    <w:rsid w:val="00FF1336"/>
    <w:rsid w:val="00FF1645"/>
    <w:rsid w:val="00FF1F4E"/>
    <w:rsid w:val="00FF23D0"/>
    <w:rsid w:val="00FF265B"/>
    <w:rsid w:val="00FF2D9F"/>
    <w:rsid w:val="00FF3057"/>
    <w:rsid w:val="00FF37B4"/>
    <w:rsid w:val="00FF3A02"/>
    <w:rsid w:val="00FF3B3F"/>
    <w:rsid w:val="00FF420E"/>
    <w:rsid w:val="00FF56FE"/>
    <w:rsid w:val="00FF588B"/>
    <w:rsid w:val="00FF5DEB"/>
    <w:rsid w:val="00FF5F73"/>
    <w:rsid w:val="00FF6396"/>
    <w:rsid w:val="00FF6B70"/>
    <w:rsid w:val="00FF76B4"/>
    <w:rsid w:val="00FF7DBE"/>
    <w:rsid w:val="00FF7F79"/>
    <w:rsid w:val="04FD9A35"/>
    <w:rsid w:val="081CE965"/>
    <w:rsid w:val="0A3E17C3"/>
    <w:rsid w:val="0DC37C9D"/>
    <w:rsid w:val="0F47ED0A"/>
    <w:rsid w:val="1035B8B4"/>
    <w:rsid w:val="13CBE801"/>
    <w:rsid w:val="181BBA22"/>
    <w:rsid w:val="1BFCA255"/>
    <w:rsid w:val="1D99D37C"/>
    <w:rsid w:val="36D612C7"/>
    <w:rsid w:val="409AD824"/>
    <w:rsid w:val="4236A885"/>
    <w:rsid w:val="448C633B"/>
    <w:rsid w:val="47DCC6B8"/>
    <w:rsid w:val="48003DC9"/>
    <w:rsid w:val="4B64A47B"/>
    <w:rsid w:val="50E18FDD"/>
    <w:rsid w:val="5367CA4D"/>
    <w:rsid w:val="57E2154D"/>
    <w:rsid w:val="5A27EB5A"/>
    <w:rsid w:val="5AAFCED3"/>
    <w:rsid w:val="704F6159"/>
    <w:rsid w:val="796C05B8"/>
    <w:rsid w:val="7A6B9F7B"/>
    <w:rsid w:val="7F3F109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12783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2F7"/>
    <w:rPr>
      <w:rFonts w:ascii="Times New Roman" w:hAnsi="Times New Roman" w:cs="Times New Roman"/>
      <w:lang w:val="en-GB" w:eastAsia="en-GB"/>
    </w:rPr>
  </w:style>
  <w:style w:type="paragraph" w:styleId="Rubrik1">
    <w:name w:val="heading 1"/>
    <w:basedOn w:val="Normal"/>
    <w:next w:val="Normal"/>
    <w:link w:val="Rubrik1Char"/>
    <w:uiPriority w:val="9"/>
    <w:qFormat/>
    <w:rsid w:val="008045DD"/>
    <w:pPr>
      <w:keepNext/>
      <w:keepLines/>
      <w:spacing w:before="480"/>
      <w:outlineLvl w:val="0"/>
    </w:pPr>
    <w:rPr>
      <w:rFonts w:asciiTheme="majorHAnsi" w:eastAsiaTheme="majorEastAsia" w:hAnsiTheme="majorHAnsi" w:cstheme="majorBidi"/>
      <w:b/>
      <w:bCs/>
      <w:color w:val="345A8A" w:themeColor="accent1" w:themeShade="B5"/>
      <w:sz w:val="32"/>
      <w:szCs w:val="32"/>
      <w:lang w:val="sv-SE" w:eastAsia="en-US"/>
    </w:rPr>
  </w:style>
  <w:style w:type="paragraph" w:styleId="Rubrik2">
    <w:name w:val="heading 2"/>
    <w:basedOn w:val="Normal"/>
    <w:next w:val="Normal"/>
    <w:link w:val="Rubrik2Char"/>
    <w:uiPriority w:val="9"/>
    <w:unhideWhenUsed/>
    <w:qFormat/>
    <w:rsid w:val="002748C1"/>
    <w:pPr>
      <w:keepNext/>
      <w:keepLines/>
      <w:spacing w:before="200"/>
      <w:outlineLvl w:val="1"/>
    </w:pPr>
    <w:rPr>
      <w:rFonts w:asciiTheme="majorHAnsi" w:eastAsiaTheme="majorEastAsia" w:hAnsiTheme="majorHAnsi" w:cstheme="majorBidi"/>
      <w:b/>
      <w:bCs/>
      <w:color w:val="4F81BD" w:themeColor="accent1"/>
      <w:sz w:val="26"/>
      <w:szCs w:val="26"/>
      <w:lang w:val="sv-SE" w:eastAsia="en-US"/>
    </w:rPr>
  </w:style>
  <w:style w:type="paragraph" w:styleId="Rubrik3">
    <w:name w:val="heading 3"/>
    <w:basedOn w:val="Normal"/>
    <w:next w:val="Normal"/>
    <w:link w:val="Rubrik3Char"/>
    <w:uiPriority w:val="9"/>
    <w:unhideWhenUsed/>
    <w:qFormat/>
    <w:rsid w:val="00B34106"/>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045DD"/>
    <w:rPr>
      <w:rFonts w:asciiTheme="majorHAnsi" w:eastAsiaTheme="majorEastAsia" w:hAnsiTheme="majorHAnsi" w:cstheme="majorBidi"/>
      <w:b/>
      <w:bCs/>
      <w:color w:val="345A8A" w:themeColor="accent1" w:themeShade="B5"/>
      <w:sz w:val="32"/>
      <w:szCs w:val="32"/>
    </w:rPr>
  </w:style>
  <w:style w:type="character" w:customStyle="1" w:styleId="Rubrik2Char">
    <w:name w:val="Rubrik 2 Char"/>
    <w:basedOn w:val="Standardstycketeckensnitt"/>
    <w:link w:val="Rubrik2"/>
    <w:uiPriority w:val="9"/>
    <w:rsid w:val="002748C1"/>
    <w:rPr>
      <w:rFonts w:asciiTheme="majorHAnsi" w:eastAsiaTheme="majorEastAsia" w:hAnsiTheme="majorHAnsi" w:cstheme="majorBidi"/>
      <w:b/>
      <w:bCs/>
      <w:color w:val="4F81BD" w:themeColor="accent1"/>
      <w:sz w:val="26"/>
      <w:szCs w:val="26"/>
    </w:rPr>
  </w:style>
  <w:style w:type="paragraph" w:styleId="Ballongtext">
    <w:name w:val="Balloon Text"/>
    <w:basedOn w:val="Normal"/>
    <w:link w:val="BallongtextChar"/>
    <w:uiPriority w:val="99"/>
    <w:semiHidden/>
    <w:unhideWhenUsed/>
    <w:rsid w:val="003E1A21"/>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E1A21"/>
    <w:rPr>
      <w:rFonts w:ascii="Lucida Grande" w:hAnsi="Lucida Grande" w:cs="Lucida Grande"/>
      <w:sz w:val="18"/>
      <w:szCs w:val="18"/>
    </w:rPr>
  </w:style>
  <w:style w:type="paragraph" w:styleId="Fotnotstext">
    <w:name w:val="footnote text"/>
    <w:basedOn w:val="Normal"/>
    <w:link w:val="FotnotstextChar"/>
    <w:uiPriority w:val="99"/>
    <w:unhideWhenUsed/>
    <w:rsid w:val="00086655"/>
    <w:rPr>
      <w:rFonts w:asciiTheme="minorHAnsi" w:hAnsiTheme="minorHAnsi" w:cstheme="minorBidi"/>
      <w:lang w:val="sv-SE" w:eastAsia="en-US"/>
    </w:rPr>
  </w:style>
  <w:style w:type="character" w:customStyle="1" w:styleId="FotnotstextChar">
    <w:name w:val="Fotnotstext Char"/>
    <w:basedOn w:val="Standardstycketeckensnitt"/>
    <w:link w:val="Fotnotstext"/>
    <w:uiPriority w:val="99"/>
    <w:rsid w:val="00086655"/>
  </w:style>
  <w:style w:type="character" w:styleId="Fotnotsreferens">
    <w:name w:val="footnote reference"/>
    <w:basedOn w:val="Standardstycketeckensnitt"/>
    <w:uiPriority w:val="99"/>
    <w:unhideWhenUsed/>
    <w:rsid w:val="00086655"/>
    <w:rPr>
      <w:vertAlign w:val="superscript"/>
    </w:rPr>
  </w:style>
  <w:style w:type="paragraph" w:styleId="Liststycke">
    <w:name w:val="List Paragraph"/>
    <w:basedOn w:val="Normal"/>
    <w:uiPriority w:val="34"/>
    <w:qFormat/>
    <w:rsid w:val="008045DD"/>
    <w:pPr>
      <w:ind w:left="720"/>
      <w:contextualSpacing/>
    </w:pPr>
    <w:rPr>
      <w:rFonts w:asciiTheme="minorHAnsi" w:hAnsiTheme="minorHAnsi" w:cstheme="minorBidi"/>
      <w:lang w:val="sv-SE" w:eastAsia="en-US"/>
    </w:rPr>
  </w:style>
  <w:style w:type="character" w:styleId="Platshllartext">
    <w:name w:val="Placeholder Text"/>
    <w:basedOn w:val="Standardstycketeckensnitt"/>
    <w:uiPriority w:val="99"/>
    <w:semiHidden/>
    <w:rsid w:val="00C466B9"/>
    <w:rPr>
      <w:color w:val="808080"/>
    </w:rPr>
  </w:style>
  <w:style w:type="paragraph" w:styleId="Sidfot">
    <w:name w:val="footer"/>
    <w:basedOn w:val="Normal"/>
    <w:link w:val="SidfotChar"/>
    <w:uiPriority w:val="99"/>
    <w:unhideWhenUsed/>
    <w:rsid w:val="00240819"/>
    <w:pPr>
      <w:tabs>
        <w:tab w:val="center" w:pos="4153"/>
        <w:tab w:val="right" w:pos="8306"/>
      </w:tabs>
    </w:pPr>
    <w:rPr>
      <w:rFonts w:asciiTheme="minorHAnsi" w:hAnsiTheme="minorHAnsi" w:cstheme="minorBidi"/>
      <w:lang w:val="sv-SE" w:eastAsia="en-US"/>
    </w:rPr>
  </w:style>
  <w:style w:type="character" w:customStyle="1" w:styleId="SidfotChar">
    <w:name w:val="Sidfot Char"/>
    <w:basedOn w:val="Standardstycketeckensnitt"/>
    <w:link w:val="Sidfot"/>
    <w:uiPriority w:val="99"/>
    <w:rsid w:val="00240819"/>
  </w:style>
  <w:style w:type="character" w:styleId="Sidnummer">
    <w:name w:val="page number"/>
    <w:basedOn w:val="Standardstycketeckensnitt"/>
    <w:uiPriority w:val="99"/>
    <w:semiHidden/>
    <w:unhideWhenUsed/>
    <w:rsid w:val="00240819"/>
  </w:style>
  <w:style w:type="paragraph" w:styleId="Litteraturfrteckning">
    <w:name w:val="Bibliography"/>
    <w:basedOn w:val="Normal"/>
    <w:next w:val="Normal"/>
    <w:uiPriority w:val="37"/>
    <w:unhideWhenUsed/>
    <w:rsid w:val="00706194"/>
    <w:rPr>
      <w:rFonts w:asciiTheme="minorHAnsi" w:hAnsiTheme="minorHAnsi" w:cstheme="minorBidi"/>
      <w:lang w:val="sv-SE" w:eastAsia="en-US"/>
    </w:rPr>
  </w:style>
  <w:style w:type="paragraph" w:styleId="Slutnotstext">
    <w:name w:val="endnote text"/>
    <w:basedOn w:val="Normal"/>
    <w:link w:val="SlutnotstextChar"/>
    <w:uiPriority w:val="99"/>
    <w:unhideWhenUsed/>
    <w:rsid w:val="006C69DF"/>
    <w:rPr>
      <w:rFonts w:asciiTheme="minorHAnsi" w:hAnsiTheme="minorHAnsi" w:cstheme="minorBidi"/>
      <w:lang w:val="sv-SE" w:eastAsia="en-US"/>
    </w:rPr>
  </w:style>
  <w:style w:type="character" w:customStyle="1" w:styleId="SlutnotstextChar">
    <w:name w:val="Slutnotstext Char"/>
    <w:basedOn w:val="Standardstycketeckensnitt"/>
    <w:link w:val="Slutnotstext"/>
    <w:uiPriority w:val="99"/>
    <w:rsid w:val="006C69DF"/>
  </w:style>
  <w:style w:type="character" w:styleId="Slutnotsreferens">
    <w:name w:val="endnote reference"/>
    <w:basedOn w:val="Standardstycketeckensnitt"/>
    <w:uiPriority w:val="99"/>
    <w:unhideWhenUsed/>
    <w:rsid w:val="006C69DF"/>
    <w:rPr>
      <w:vertAlign w:val="superscript"/>
    </w:rPr>
  </w:style>
  <w:style w:type="paragraph" w:styleId="Sidhuvud">
    <w:name w:val="header"/>
    <w:basedOn w:val="Normal"/>
    <w:link w:val="SidhuvudChar"/>
    <w:uiPriority w:val="99"/>
    <w:unhideWhenUsed/>
    <w:rsid w:val="00CD16BA"/>
    <w:pPr>
      <w:tabs>
        <w:tab w:val="center" w:pos="4153"/>
        <w:tab w:val="right" w:pos="8306"/>
      </w:tabs>
    </w:pPr>
    <w:rPr>
      <w:rFonts w:asciiTheme="minorHAnsi" w:hAnsiTheme="minorHAnsi" w:cstheme="minorBidi"/>
      <w:lang w:val="sv-SE" w:eastAsia="en-US"/>
    </w:rPr>
  </w:style>
  <w:style w:type="character" w:customStyle="1" w:styleId="SidhuvudChar">
    <w:name w:val="Sidhuvud Char"/>
    <w:basedOn w:val="Standardstycketeckensnitt"/>
    <w:link w:val="Sidhuvud"/>
    <w:uiPriority w:val="99"/>
    <w:rsid w:val="00CD16BA"/>
  </w:style>
  <w:style w:type="character" w:styleId="Hyperlnk">
    <w:name w:val="Hyperlink"/>
    <w:basedOn w:val="Standardstycketeckensnitt"/>
    <w:uiPriority w:val="99"/>
    <w:unhideWhenUsed/>
    <w:rsid w:val="001606E6"/>
    <w:rPr>
      <w:color w:val="0000FF" w:themeColor="hyperlink"/>
      <w:u w:val="single"/>
    </w:rPr>
  </w:style>
  <w:style w:type="character" w:styleId="Kommentarsreferens">
    <w:name w:val="annotation reference"/>
    <w:basedOn w:val="Standardstycketeckensnitt"/>
    <w:uiPriority w:val="99"/>
    <w:semiHidden/>
    <w:unhideWhenUsed/>
    <w:rsid w:val="00DE5ACF"/>
    <w:rPr>
      <w:sz w:val="16"/>
      <w:szCs w:val="16"/>
    </w:rPr>
  </w:style>
  <w:style w:type="paragraph" w:styleId="Kommentarer">
    <w:name w:val="annotation text"/>
    <w:basedOn w:val="Normal"/>
    <w:link w:val="KommentarerChar"/>
    <w:uiPriority w:val="99"/>
    <w:unhideWhenUsed/>
    <w:rsid w:val="00DE5ACF"/>
    <w:rPr>
      <w:sz w:val="20"/>
      <w:szCs w:val="20"/>
    </w:rPr>
  </w:style>
  <w:style w:type="character" w:customStyle="1" w:styleId="KommentarerChar">
    <w:name w:val="Kommentarer Char"/>
    <w:basedOn w:val="Standardstycketeckensnitt"/>
    <w:link w:val="Kommentarer"/>
    <w:uiPriority w:val="99"/>
    <w:rsid w:val="00DE5ACF"/>
    <w:rPr>
      <w:sz w:val="20"/>
      <w:szCs w:val="20"/>
    </w:rPr>
  </w:style>
  <w:style w:type="paragraph" w:styleId="Kommentarsmne">
    <w:name w:val="annotation subject"/>
    <w:basedOn w:val="Kommentarer"/>
    <w:next w:val="Kommentarer"/>
    <w:link w:val="KommentarsmneChar"/>
    <w:uiPriority w:val="99"/>
    <w:semiHidden/>
    <w:unhideWhenUsed/>
    <w:rsid w:val="00DE5ACF"/>
    <w:rPr>
      <w:b/>
      <w:bCs/>
    </w:rPr>
  </w:style>
  <w:style w:type="character" w:customStyle="1" w:styleId="KommentarsmneChar">
    <w:name w:val="Kommentarsämne Char"/>
    <w:basedOn w:val="KommentarerChar"/>
    <w:link w:val="Kommentarsmne"/>
    <w:uiPriority w:val="99"/>
    <w:semiHidden/>
    <w:rsid w:val="00DE5ACF"/>
    <w:rPr>
      <w:b/>
      <w:bCs/>
      <w:sz w:val="20"/>
      <w:szCs w:val="20"/>
    </w:rPr>
  </w:style>
  <w:style w:type="paragraph" w:styleId="Innehllsfrteckningsrubrik">
    <w:name w:val="TOC Heading"/>
    <w:basedOn w:val="Rubrik1"/>
    <w:next w:val="Normal"/>
    <w:uiPriority w:val="39"/>
    <w:unhideWhenUsed/>
    <w:qFormat/>
    <w:rsid w:val="004746A2"/>
    <w:pPr>
      <w:spacing w:line="276" w:lineRule="auto"/>
      <w:outlineLvl w:val="9"/>
    </w:pPr>
    <w:rPr>
      <w:color w:val="365F91" w:themeColor="accent1" w:themeShade="BF"/>
      <w:sz w:val="28"/>
      <w:szCs w:val="28"/>
      <w:lang w:val="en-US"/>
    </w:rPr>
  </w:style>
  <w:style w:type="paragraph" w:styleId="Innehll1">
    <w:name w:val="toc 1"/>
    <w:basedOn w:val="Normal"/>
    <w:next w:val="Normal"/>
    <w:autoRedefine/>
    <w:uiPriority w:val="39"/>
    <w:unhideWhenUsed/>
    <w:rsid w:val="003F0985"/>
    <w:pPr>
      <w:tabs>
        <w:tab w:val="left" w:pos="480"/>
        <w:tab w:val="right" w:leader="dot" w:pos="9010"/>
      </w:tabs>
      <w:spacing w:before="120"/>
    </w:pPr>
    <w:rPr>
      <w:rFonts w:asciiTheme="minorHAnsi" w:hAnsiTheme="minorHAnsi" w:cstheme="minorBidi"/>
      <w:b/>
      <w:lang w:val="sv-SE" w:eastAsia="en-US"/>
    </w:rPr>
  </w:style>
  <w:style w:type="paragraph" w:styleId="Innehll2">
    <w:name w:val="toc 2"/>
    <w:basedOn w:val="Normal"/>
    <w:next w:val="Normal"/>
    <w:autoRedefine/>
    <w:uiPriority w:val="39"/>
    <w:unhideWhenUsed/>
    <w:rsid w:val="004746A2"/>
    <w:pPr>
      <w:ind w:left="240"/>
    </w:pPr>
    <w:rPr>
      <w:rFonts w:asciiTheme="minorHAnsi" w:hAnsiTheme="minorHAnsi" w:cstheme="minorBidi"/>
      <w:b/>
      <w:sz w:val="22"/>
      <w:szCs w:val="22"/>
      <w:lang w:val="sv-SE" w:eastAsia="en-US"/>
    </w:rPr>
  </w:style>
  <w:style w:type="paragraph" w:styleId="Innehll3">
    <w:name w:val="toc 3"/>
    <w:basedOn w:val="Normal"/>
    <w:next w:val="Normal"/>
    <w:autoRedefine/>
    <w:uiPriority w:val="39"/>
    <w:unhideWhenUsed/>
    <w:rsid w:val="004746A2"/>
    <w:pPr>
      <w:ind w:left="480"/>
    </w:pPr>
    <w:rPr>
      <w:sz w:val="22"/>
      <w:szCs w:val="22"/>
    </w:rPr>
  </w:style>
  <w:style w:type="paragraph" w:styleId="Innehll4">
    <w:name w:val="toc 4"/>
    <w:basedOn w:val="Normal"/>
    <w:next w:val="Normal"/>
    <w:autoRedefine/>
    <w:uiPriority w:val="39"/>
    <w:semiHidden/>
    <w:unhideWhenUsed/>
    <w:rsid w:val="004746A2"/>
    <w:pPr>
      <w:ind w:left="720"/>
    </w:pPr>
    <w:rPr>
      <w:sz w:val="20"/>
      <w:szCs w:val="20"/>
    </w:rPr>
  </w:style>
  <w:style w:type="paragraph" w:styleId="Innehll5">
    <w:name w:val="toc 5"/>
    <w:basedOn w:val="Normal"/>
    <w:next w:val="Normal"/>
    <w:autoRedefine/>
    <w:uiPriority w:val="39"/>
    <w:semiHidden/>
    <w:unhideWhenUsed/>
    <w:rsid w:val="004746A2"/>
    <w:pPr>
      <w:ind w:left="960"/>
    </w:pPr>
    <w:rPr>
      <w:sz w:val="20"/>
      <w:szCs w:val="20"/>
    </w:rPr>
  </w:style>
  <w:style w:type="paragraph" w:styleId="Innehll6">
    <w:name w:val="toc 6"/>
    <w:basedOn w:val="Normal"/>
    <w:next w:val="Normal"/>
    <w:autoRedefine/>
    <w:uiPriority w:val="39"/>
    <w:semiHidden/>
    <w:unhideWhenUsed/>
    <w:rsid w:val="004746A2"/>
    <w:pPr>
      <w:ind w:left="1200"/>
    </w:pPr>
    <w:rPr>
      <w:sz w:val="20"/>
      <w:szCs w:val="20"/>
    </w:rPr>
  </w:style>
  <w:style w:type="paragraph" w:styleId="Innehll7">
    <w:name w:val="toc 7"/>
    <w:basedOn w:val="Normal"/>
    <w:next w:val="Normal"/>
    <w:autoRedefine/>
    <w:uiPriority w:val="39"/>
    <w:semiHidden/>
    <w:unhideWhenUsed/>
    <w:rsid w:val="004746A2"/>
    <w:pPr>
      <w:ind w:left="1440"/>
    </w:pPr>
    <w:rPr>
      <w:sz w:val="20"/>
      <w:szCs w:val="20"/>
    </w:rPr>
  </w:style>
  <w:style w:type="paragraph" w:styleId="Innehll8">
    <w:name w:val="toc 8"/>
    <w:basedOn w:val="Normal"/>
    <w:next w:val="Normal"/>
    <w:autoRedefine/>
    <w:uiPriority w:val="39"/>
    <w:semiHidden/>
    <w:unhideWhenUsed/>
    <w:rsid w:val="004746A2"/>
    <w:pPr>
      <w:ind w:left="1680"/>
    </w:pPr>
    <w:rPr>
      <w:sz w:val="20"/>
      <w:szCs w:val="20"/>
    </w:rPr>
  </w:style>
  <w:style w:type="paragraph" w:styleId="Innehll9">
    <w:name w:val="toc 9"/>
    <w:basedOn w:val="Normal"/>
    <w:next w:val="Normal"/>
    <w:autoRedefine/>
    <w:uiPriority w:val="39"/>
    <w:semiHidden/>
    <w:unhideWhenUsed/>
    <w:rsid w:val="004746A2"/>
    <w:pPr>
      <w:ind w:left="1920"/>
    </w:pPr>
    <w:rPr>
      <w:sz w:val="20"/>
      <w:szCs w:val="20"/>
    </w:rPr>
  </w:style>
  <w:style w:type="paragraph" w:styleId="Dokumentversikt">
    <w:name w:val="Document Map"/>
    <w:basedOn w:val="Normal"/>
    <w:link w:val="DokumentversiktChar"/>
    <w:uiPriority w:val="99"/>
    <w:semiHidden/>
    <w:unhideWhenUsed/>
    <w:rsid w:val="0008371C"/>
  </w:style>
  <w:style w:type="character" w:customStyle="1" w:styleId="DokumentversiktChar">
    <w:name w:val="Dokumentöversikt Char"/>
    <w:basedOn w:val="Standardstycketeckensnitt"/>
    <w:link w:val="Dokumentversikt"/>
    <w:uiPriority w:val="99"/>
    <w:semiHidden/>
    <w:rsid w:val="0008371C"/>
    <w:rPr>
      <w:rFonts w:ascii="Times New Roman" w:hAnsi="Times New Roman" w:cs="Times New Roman"/>
      <w:lang w:val="en-GB" w:eastAsia="en-GB"/>
    </w:rPr>
  </w:style>
  <w:style w:type="character" w:styleId="Olstomnmnande">
    <w:name w:val="Unresolved Mention"/>
    <w:basedOn w:val="Standardstycketeckensnitt"/>
    <w:uiPriority w:val="99"/>
    <w:rsid w:val="00630C1E"/>
    <w:rPr>
      <w:color w:val="605E5C"/>
      <w:shd w:val="clear" w:color="auto" w:fill="E1DFDD"/>
    </w:rPr>
  </w:style>
  <w:style w:type="paragraph" w:styleId="Revision">
    <w:name w:val="Revision"/>
    <w:hidden/>
    <w:uiPriority w:val="99"/>
    <w:semiHidden/>
    <w:rsid w:val="006E1E43"/>
    <w:rPr>
      <w:rFonts w:ascii="Times New Roman" w:hAnsi="Times New Roman" w:cs="Times New Roman"/>
      <w:lang w:val="en-GB" w:eastAsia="en-GB"/>
    </w:rPr>
  </w:style>
  <w:style w:type="character" w:styleId="AnvndHyperlnk">
    <w:name w:val="FollowedHyperlink"/>
    <w:basedOn w:val="Standardstycketeckensnitt"/>
    <w:uiPriority w:val="99"/>
    <w:semiHidden/>
    <w:unhideWhenUsed/>
    <w:rsid w:val="005E4F22"/>
    <w:rPr>
      <w:color w:val="800080" w:themeColor="followedHyperlink"/>
      <w:u w:val="single"/>
    </w:rPr>
  </w:style>
  <w:style w:type="character" w:customStyle="1" w:styleId="Rubrik3Char">
    <w:name w:val="Rubrik 3 Char"/>
    <w:basedOn w:val="Standardstycketeckensnitt"/>
    <w:link w:val="Rubrik3"/>
    <w:uiPriority w:val="9"/>
    <w:rsid w:val="00B34106"/>
    <w:rPr>
      <w:rFonts w:asciiTheme="majorHAnsi" w:eastAsiaTheme="majorEastAsia" w:hAnsiTheme="majorHAnsi" w:cstheme="majorBidi"/>
      <w:color w:val="243F60" w:themeColor="accent1" w:themeShade="7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5683">
      <w:bodyDiv w:val="1"/>
      <w:marLeft w:val="0"/>
      <w:marRight w:val="0"/>
      <w:marTop w:val="0"/>
      <w:marBottom w:val="0"/>
      <w:divBdr>
        <w:top w:val="none" w:sz="0" w:space="0" w:color="auto"/>
        <w:left w:val="none" w:sz="0" w:space="0" w:color="auto"/>
        <w:bottom w:val="none" w:sz="0" w:space="0" w:color="auto"/>
        <w:right w:val="none" w:sz="0" w:space="0" w:color="auto"/>
      </w:divBdr>
    </w:div>
    <w:div w:id="145515719">
      <w:bodyDiv w:val="1"/>
      <w:marLeft w:val="0"/>
      <w:marRight w:val="0"/>
      <w:marTop w:val="0"/>
      <w:marBottom w:val="0"/>
      <w:divBdr>
        <w:top w:val="none" w:sz="0" w:space="0" w:color="auto"/>
        <w:left w:val="none" w:sz="0" w:space="0" w:color="auto"/>
        <w:bottom w:val="none" w:sz="0" w:space="0" w:color="auto"/>
        <w:right w:val="none" w:sz="0" w:space="0" w:color="auto"/>
      </w:divBdr>
    </w:div>
    <w:div w:id="164517715">
      <w:bodyDiv w:val="1"/>
      <w:marLeft w:val="0"/>
      <w:marRight w:val="0"/>
      <w:marTop w:val="0"/>
      <w:marBottom w:val="0"/>
      <w:divBdr>
        <w:top w:val="none" w:sz="0" w:space="0" w:color="auto"/>
        <w:left w:val="none" w:sz="0" w:space="0" w:color="auto"/>
        <w:bottom w:val="none" w:sz="0" w:space="0" w:color="auto"/>
        <w:right w:val="none" w:sz="0" w:space="0" w:color="auto"/>
      </w:divBdr>
    </w:div>
    <w:div w:id="170611283">
      <w:bodyDiv w:val="1"/>
      <w:marLeft w:val="0"/>
      <w:marRight w:val="0"/>
      <w:marTop w:val="0"/>
      <w:marBottom w:val="0"/>
      <w:divBdr>
        <w:top w:val="none" w:sz="0" w:space="0" w:color="auto"/>
        <w:left w:val="none" w:sz="0" w:space="0" w:color="auto"/>
        <w:bottom w:val="none" w:sz="0" w:space="0" w:color="auto"/>
        <w:right w:val="none" w:sz="0" w:space="0" w:color="auto"/>
      </w:divBdr>
    </w:div>
    <w:div w:id="195894826">
      <w:bodyDiv w:val="1"/>
      <w:marLeft w:val="0"/>
      <w:marRight w:val="0"/>
      <w:marTop w:val="0"/>
      <w:marBottom w:val="0"/>
      <w:divBdr>
        <w:top w:val="none" w:sz="0" w:space="0" w:color="auto"/>
        <w:left w:val="none" w:sz="0" w:space="0" w:color="auto"/>
        <w:bottom w:val="none" w:sz="0" w:space="0" w:color="auto"/>
        <w:right w:val="none" w:sz="0" w:space="0" w:color="auto"/>
      </w:divBdr>
    </w:div>
    <w:div w:id="264309174">
      <w:bodyDiv w:val="1"/>
      <w:marLeft w:val="0"/>
      <w:marRight w:val="0"/>
      <w:marTop w:val="0"/>
      <w:marBottom w:val="0"/>
      <w:divBdr>
        <w:top w:val="none" w:sz="0" w:space="0" w:color="auto"/>
        <w:left w:val="none" w:sz="0" w:space="0" w:color="auto"/>
        <w:bottom w:val="none" w:sz="0" w:space="0" w:color="auto"/>
        <w:right w:val="none" w:sz="0" w:space="0" w:color="auto"/>
      </w:divBdr>
    </w:div>
    <w:div w:id="316426350">
      <w:bodyDiv w:val="1"/>
      <w:marLeft w:val="0"/>
      <w:marRight w:val="0"/>
      <w:marTop w:val="0"/>
      <w:marBottom w:val="0"/>
      <w:divBdr>
        <w:top w:val="none" w:sz="0" w:space="0" w:color="auto"/>
        <w:left w:val="none" w:sz="0" w:space="0" w:color="auto"/>
        <w:bottom w:val="none" w:sz="0" w:space="0" w:color="auto"/>
        <w:right w:val="none" w:sz="0" w:space="0" w:color="auto"/>
      </w:divBdr>
    </w:div>
    <w:div w:id="373584199">
      <w:bodyDiv w:val="1"/>
      <w:marLeft w:val="0"/>
      <w:marRight w:val="0"/>
      <w:marTop w:val="0"/>
      <w:marBottom w:val="0"/>
      <w:divBdr>
        <w:top w:val="none" w:sz="0" w:space="0" w:color="auto"/>
        <w:left w:val="none" w:sz="0" w:space="0" w:color="auto"/>
        <w:bottom w:val="none" w:sz="0" w:space="0" w:color="auto"/>
        <w:right w:val="none" w:sz="0" w:space="0" w:color="auto"/>
      </w:divBdr>
    </w:div>
    <w:div w:id="380717656">
      <w:bodyDiv w:val="1"/>
      <w:marLeft w:val="0"/>
      <w:marRight w:val="0"/>
      <w:marTop w:val="0"/>
      <w:marBottom w:val="0"/>
      <w:divBdr>
        <w:top w:val="none" w:sz="0" w:space="0" w:color="auto"/>
        <w:left w:val="none" w:sz="0" w:space="0" w:color="auto"/>
        <w:bottom w:val="none" w:sz="0" w:space="0" w:color="auto"/>
        <w:right w:val="none" w:sz="0" w:space="0" w:color="auto"/>
      </w:divBdr>
      <w:divsChild>
        <w:div w:id="1813599537">
          <w:marLeft w:val="0"/>
          <w:marRight w:val="0"/>
          <w:marTop w:val="0"/>
          <w:marBottom w:val="0"/>
          <w:divBdr>
            <w:top w:val="none" w:sz="0" w:space="0" w:color="auto"/>
            <w:left w:val="none" w:sz="0" w:space="0" w:color="auto"/>
            <w:bottom w:val="none" w:sz="0" w:space="0" w:color="auto"/>
            <w:right w:val="none" w:sz="0" w:space="0" w:color="auto"/>
          </w:divBdr>
          <w:divsChild>
            <w:div w:id="903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9558">
      <w:bodyDiv w:val="1"/>
      <w:marLeft w:val="0"/>
      <w:marRight w:val="0"/>
      <w:marTop w:val="0"/>
      <w:marBottom w:val="0"/>
      <w:divBdr>
        <w:top w:val="none" w:sz="0" w:space="0" w:color="auto"/>
        <w:left w:val="none" w:sz="0" w:space="0" w:color="auto"/>
        <w:bottom w:val="none" w:sz="0" w:space="0" w:color="auto"/>
        <w:right w:val="none" w:sz="0" w:space="0" w:color="auto"/>
      </w:divBdr>
    </w:div>
    <w:div w:id="464590666">
      <w:bodyDiv w:val="1"/>
      <w:marLeft w:val="0"/>
      <w:marRight w:val="0"/>
      <w:marTop w:val="0"/>
      <w:marBottom w:val="0"/>
      <w:divBdr>
        <w:top w:val="none" w:sz="0" w:space="0" w:color="auto"/>
        <w:left w:val="none" w:sz="0" w:space="0" w:color="auto"/>
        <w:bottom w:val="none" w:sz="0" w:space="0" w:color="auto"/>
        <w:right w:val="none" w:sz="0" w:space="0" w:color="auto"/>
      </w:divBdr>
    </w:div>
    <w:div w:id="546723819">
      <w:bodyDiv w:val="1"/>
      <w:marLeft w:val="0"/>
      <w:marRight w:val="0"/>
      <w:marTop w:val="0"/>
      <w:marBottom w:val="0"/>
      <w:divBdr>
        <w:top w:val="none" w:sz="0" w:space="0" w:color="auto"/>
        <w:left w:val="none" w:sz="0" w:space="0" w:color="auto"/>
        <w:bottom w:val="none" w:sz="0" w:space="0" w:color="auto"/>
        <w:right w:val="none" w:sz="0" w:space="0" w:color="auto"/>
      </w:divBdr>
    </w:div>
    <w:div w:id="610362106">
      <w:bodyDiv w:val="1"/>
      <w:marLeft w:val="0"/>
      <w:marRight w:val="0"/>
      <w:marTop w:val="0"/>
      <w:marBottom w:val="0"/>
      <w:divBdr>
        <w:top w:val="none" w:sz="0" w:space="0" w:color="auto"/>
        <w:left w:val="none" w:sz="0" w:space="0" w:color="auto"/>
        <w:bottom w:val="none" w:sz="0" w:space="0" w:color="auto"/>
        <w:right w:val="none" w:sz="0" w:space="0" w:color="auto"/>
      </w:divBdr>
    </w:div>
    <w:div w:id="624774054">
      <w:bodyDiv w:val="1"/>
      <w:marLeft w:val="0"/>
      <w:marRight w:val="0"/>
      <w:marTop w:val="0"/>
      <w:marBottom w:val="0"/>
      <w:divBdr>
        <w:top w:val="none" w:sz="0" w:space="0" w:color="auto"/>
        <w:left w:val="none" w:sz="0" w:space="0" w:color="auto"/>
        <w:bottom w:val="none" w:sz="0" w:space="0" w:color="auto"/>
        <w:right w:val="none" w:sz="0" w:space="0" w:color="auto"/>
      </w:divBdr>
    </w:div>
    <w:div w:id="644889964">
      <w:bodyDiv w:val="1"/>
      <w:marLeft w:val="0"/>
      <w:marRight w:val="0"/>
      <w:marTop w:val="0"/>
      <w:marBottom w:val="0"/>
      <w:divBdr>
        <w:top w:val="none" w:sz="0" w:space="0" w:color="auto"/>
        <w:left w:val="none" w:sz="0" w:space="0" w:color="auto"/>
        <w:bottom w:val="none" w:sz="0" w:space="0" w:color="auto"/>
        <w:right w:val="none" w:sz="0" w:space="0" w:color="auto"/>
      </w:divBdr>
    </w:div>
    <w:div w:id="756443378">
      <w:bodyDiv w:val="1"/>
      <w:marLeft w:val="0"/>
      <w:marRight w:val="0"/>
      <w:marTop w:val="0"/>
      <w:marBottom w:val="0"/>
      <w:divBdr>
        <w:top w:val="none" w:sz="0" w:space="0" w:color="auto"/>
        <w:left w:val="none" w:sz="0" w:space="0" w:color="auto"/>
        <w:bottom w:val="none" w:sz="0" w:space="0" w:color="auto"/>
        <w:right w:val="none" w:sz="0" w:space="0" w:color="auto"/>
      </w:divBdr>
    </w:div>
    <w:div w:id="820577735">
      <w:bodyDiv w:val="1"/>
      <w:marLeft w:val="0"/>
      <w:marRight w:val="0"/>
      <w:marTop w:val="0"/>
      <w:marBottom w:val="0"/>
      <w:divBdr>
        <w:top w:val="none" w:sz="0" w:space="0" w:color="auto"/>
        <w:left w:val="none" w:sz="0" w:space="0" w:color="auto"/>
        <w:bottom w:val="none" w:sz="0" w:space="0" w:color="auto"/>
        <w:right w:val="none" w:sz="0" w:space="0" w:color="auto"/>
      </w:divBdr>
    </w:div>
    <w:div w:id="842934976">
      <w:bodyDiv w:val="1"/>
      <w:marLeft w:val="0"/>
      <w:marRight w:val="0"/>
      <w:marTop w:val="0"/>
      <w:marBottom w:val="0"/>
      <w:divBdr>
        <w:top w:val="none" w:sz="0" w:space="0" w:color="auto"/>
        <w:left w:val="none" w:sz="0" w:space="0" w:color="auto"/>
        <w:bottom w:val="none" w:sz="0" w:space="0" w:color="auto"/>
        <w:right w:val="none" w:sz="0" w:space="0" w:color="auto"/>
      </w:divBdr>
    </w:div>
    <w:div w:id="852569880">
      <w:bodyDiv w:val="1"/>
      <w:marLeft w:val="0"/>
      <w:marRight w:val="0"/>
      <w:marTop w:val="0"/>
      <w:marBottom w:val="0"/>
      <w:divBdr>
        <w:top w:val="none" w:sz="0" w:space="0" w:color="auto"/>
        <w:left w:val="none" w:sz="0" w:space="0" w:color="auto"/>
        <w:bottom w:val="none" w:sz="0" w:space="0" w:color="auto"/>
        <w:right w:val="none" w:sz="0" w:space="0" w:color="auto"/>
      </w:divBdr>
    </w:div>
    <w:div w:id="977148023">
      <w:bodyDiv w:val="1"/>
      <w:marLeft w:val="0"/>
      <w:marRight w:val="0"/>
      <w:marTop w:val="0"/>
      <w:marBottom w:val="0"/>
      <w:divBdr>
        <w:top w:val="none" w:sz="0" w:space="0" w:color="auto"/>
        <w:left w:val="none" w:sz="0" w:space="0" w:color="auto"/>
        <w:bottom w:val="none" w:sz="0" w:space="0" w:color="auto"/>
        <w:right w:val="none" w:sz="0" w:space="0" w:color="auto"/>
      </w:divBdr>
    </w:div>
    <w:div w:id="993606810">
      <w:bodyDiv w:val="1"/>
      <w:marLeft w:val="0"/>
      <w:marRight w:val="0"/>
      <w:marTop w:val="0"/>
      <w:marBottom w:val="0"/>
      <w:divBdr>
        <w:top w:val="none" w:sz="0" w:space="0" w:color="auto"/>
        <w:left w:val="none" w:sz="0" w:space="0" w:color="auto"/>
        <w:bottom w:val="none" w:sz="0" w:space="0" w:color="auto"/>
        <w:right w:val="none" w:sz="0" w:space="0" w:color="auto"/>
      </w:divBdr>
    </w:div>
    <w:div w:id="1023091916">
      <w:bodyDiv w:val="1"/>
      <w:marLeft w:val="0"/>
      <w:marRight w:val="0"/>
      <w:marTop w:val="0"/>
      <w:marBottom w:val="0"/>
      <w:divBdr>
        <w:top w:val="none" w:sz="0" w:space="0" w:color="auto"/>
        <w:left w:val="none" w:sz="0" w:space="0" w:color="auto"/>
        <w:bottom w:val="none" w:sz="0" w:space="0" w:color="auto"/>
        <w:right w:val="none" w:sz="0" w:space="0" w:color="auto"/>
      </w:divBdr>
    </w:div>
    <w:div w:id="1095512571">
      <w:bodyDiv w:val="1"/>
      <w:marLeft w:val="0"/>
      <w:marRight w:val="0"/>
      <w:marTop w:val="0"/>
      <w:marBottom w:val="0"/>
      <w:divBdr>
        <w:top w:val="none" w:sz="0" w:space="0" w:color="auto"/>
        <w:left w:val="none" w:sz="0" w:space="0" w:color="auto"/>
        <w:bottom w:val="none" w:sz="0" w:space="0" w:color="auto"/>
        <w:right w:val="none" w:sz="0" w:space="0" w:color="auto"/>
      </w:divBdr>
    </w:div>
    <w:div w:id="1124499245">
      <w:bodyDiv w:val="1"/>
      <w:marLeft w:val="0"/>
      <w:marRight w:val="0"/>
      <w:marTop w:val="0"/>
      <w:marBottom w:val="0"/>
      <w:divBdr>
        <w:top w:val="none" w:sz="0" w:space="0" w:color="auto"/>
        <w:left w:val="none" w:sz="0" w:space="0" w:color="auto"/>
        <w:bottom w:val="none" w:sz="0" w:space="0" w:color="auto"/>
        <w:right w:val="none" w:sz="0" w:space="0" w:color="auto"/>
      </w:divBdr>
    </w:div>
    <w:div w:id="1155990262">
      <w:bodyDiv w:val="1"/>
      <w:marLeft w:val="0"/>
      <w:marRight w:val="0"/>
      <w:marTop w:val="0"/>
      <w:marBottom w:val="0"/>
      <w:divBdr>
        <w:top w:val="none" w:sz="0" w:space="0" w:color="auto"/>
        <w:left w:val="none" w:sz="0" w:space="0" w:color="auto"/>
        <w:bottom w:val="none" w:sz="0" w:space="0" w:color="auto"/>
        <w:right w:val="none" w:sz="0" w:space="0" w:color="auto"/>
      </w:divBdr>
    </w:div>
    <w:div w:id="1176186841">
      <w:bodyDiv w:val="1"/>
      <w:marLeft w:val="0"/>
      <w:marRight w:val="0"/>
      <w:marTop w:val="0"/>
      <w:marBottom w:val="0"/>
      <w:divBdr>
        <w:top w:val="none" w:sz="0" w:space="0" w:color="auto"/>
        <w:left w:val="none" w:sz="0" w:space="0" w:color="auto"/>
        <w:bottom w:val="none" w:sz="0" w:space="0" w:color="auto"/>
        <w:right w:val="none" w:sz="0" w:space="0" w:color="auto"/>
      </w:divBdr>
    </w:div>
    <w:div w:id="1179269915">
      <w:bodyDiv w:val="1"/>
      <w:marLeft w:val="0"/>
      <w:marRight w:val="0"/>
      <w:marTop w:val="0"/>
      <w:marBottom w:val="0"/>
      <w:divBdr>
        <w:top w:val="none" w:sz="0" w:space="0" w:color="auto"/>
        <w:left w:val="none" w:sz="0" w:space="0" w:color="auto"/>
        <w:bottom w:val="none" w:sz="0" w:space="0" w:color="auto"/>
        <w:right w:val="none" w:sz="0" w:space="0" w:color="auto"/>
      </w:divBdr>
    </w:div>
    <w:div w:id="1218396086">
      <w:bodyDiv w:val="1"/>
      <w:marLeft w:val="0"/>
      <w:marRight w:val="0"/>
      <w:marTop w:val="0"/>
      <w:marBottom w:val="0"/>
      <w:divBdr>
        <w:top w:val="none" w:sz="0" w:space="0" w:color="auto"/>
        <w:left w:val="none" w:sz="0" w:space="0" w:color="auto"/>
        <w:bottom w:val="none" w:sz="0" w:space="0" w:color="auto"/>
        <w:right w:val="none" w:sz="0" w:space="0" w:color="auto"/>
      </w:divBdr>
    </w:div>
    <w:div w:id="1224022581">
      <w:bodyDiv w:val="1"/>
      <w:marLeft w:val="0"/>
      <w:marRight w:val="0"/>
      <w:marTop w:val="0"/>
      <w:marBottom w:val="0"/>
      <w:divBdr>
        <w:top w:val="none" w:sz="0" w:space="0" w:color="auto"/>
        <w:left w:val="none" w:sz="0" w:space="0" w:color="auto"/>
        <w:bottom w:val="none" w:sz="0" w:space="0" w:color="auto"/>
        <w:right w:val="none" w:sz="0" w:space="0" w:color="auto"/>
      </w:divBdr>
    </w:div>
    <w:div w:id="1235704880">
      <w:bodyDiv w:val="1"/>
      <w:marLeft w:val="0"/>
      <w:marRight w:val="0"/>
      <w:marTop w:val="0"/>
      <w:marBottom w:val="0"/>
      <w:divBdr>
        <w:top w:val="none" w:sz="0" w:space="0" w:color="auto"/>
        <w:left w:val="none" w:sz="0" w:space="0" w:color="auto"/>
        <w:bottom w:val="none" w:sz="0" w:space="0" w:color="auto"/>
        <w:right w:val="none" w:sz="0" w:space="0" w:color="auto"/>
      </w:divBdr>
    </w:div>
    <w:div w:id="1258251239">
      <w:bodyDiv w:val="1"/>
      <w:marLeft w:val="0"/>
      <w:marRight w:val="0"/>
      <w:marTop w:val="0"/>
      <w:marBottom w:val="0"/>
      <w:divBdr>
        <w:top w:val="none" w:sz="0" w:space="0" w:color="auto"/>
        <w:left w:val="none" w:sz="0" w:space="0" w:color="auto"/>
        <w:bottom w:val="none" w:sz="0" w:space="0" w:color="auto"/>
        <w:right w:val="none" w:sz="0" w:space="0" w:color="auto"/>
      </w:divBdr>
    </w:div>
    <w:div w:id="1288924592">
      <w:bodyDiv w:val="1"/>
      <w:marLeft w:val="0"/>
      <w:marRight w:val="0"/>
      <w:marTop w:val="0"/>
      <w:marBottom w:val="0"/>
      <w:divBdr>
        <w:top w:val="none" w:sz="0" w:space="0" w:color="auto"/>
        <w:left w:val="none" w:sz="0" w:space="0" w:color="auto"/>
        <w:bottom w:val="none" w:sz="0" w:space="0" w:color="auto"/>
        <w:right w:val="none" w:sz="0" w:space="0" w:color="auto"/>
      </w:divBdr>
    </w:div>
    <w:div w:id="1382946625">
      <w:bodyDiv w:val="1"/>
      <w:marLeft w:val="0"/>
      <w:marRight w:val="0"/>
      <w:marTop w:val="0"/>
      <w:marBottom w:val="0"/>
      <w:divBdr>
        <w:top w:val="none" w:sz="0" w:space="0" w:color="auto"/>
        <w:left w:val="none" w:sz="0" w:space="0" w:color="auto"/>
        <w:bottom w:val="none" w:sz="0" w:space="0" w:color="auto"/>
        <w:right w:val="none" w:sz="0" w:space="0" w:color="auto"/>
      </w:divBdr>
    </w:div>
    <w:div w:id="1391803870">
      <w:bodyDiv w:val="1"/>
      <w:marLeft w:val="0"/>
      <w:marRight w:val="0"/>
      <w:marTop w:val="0"/>
      <w:marBottom w:val="0"/>
      <w:divBdr>
        <w:top w:val="none" w:sz="0" w:space="0" w:color="auto"/>
        <w:left w:val="none" w:sz="0" w:space="0" w:color="auto"/>
        <w:bottom w:val="none" w:sz="0" w:space="0" w:color="auto"/>
        <w:right w:val="none" w:sz="0" w:space="0" w:color="auto"/>
      </w:divBdr>
    </w:div>
    <w:div w:id="1471167164">
      <w:bodyDiv w:val="1"/>
      <w:marLeft w:val="0"/>
      <w:marRight w:val="0"/>
      <w:marTop w:val="0"/>
      <w:marBottom w:val="0"/>
      <w:divBdr>
        <w:top w:val="none" w:sz="0" w:space="0" w:color="auto"/>
        <w:left w:val="none" w:sz="0" w:space="0" w:color="auto"/>
        <w:bottom w:val="none" w:sz="0" w:space="0" w:color="auto"/>
        <w:right w:val="none" w:sz="0" w:space="0" w:color="auto"/>
      </w:divBdr>
    </w:div>
    <w:div w:id="1594823730">
      <w:bodyDiv w:val="1"/>
      <w:marLeft w:val="0"/>
      <w:marRight w:val="0"/>
      <w:marTop w:val="0"/>
      <w:marBottom w:val="0"/>
      <w:divBdr>
        <w:top w:val="none" w:sz="0" w:space="0" w:color="auto"/>
        <w:left w:val="none" w:sz="0" w:space="0" w:color="auto"/>
        <w:bottom w:val="none" w:sz="0" w:space="0" w:color="auto"/>
        <w:right w:val="none" w:sz="0" w:space="0" w:color="auto"/>
      </w:divBdr>
    </w:div>
    <w:div w:id="1723478498">
      <w:bodyDiv w:val="1"/>
      <w:marLeft w:val="0"/>
      <w:marRight w:val="0"/>
      <w:marTop w:val="0"/>
      <w:marBottom w:val="0"/>
      <w:divBdr>
        <w:top w:val="none" w:sz="0" w:space="0" w:color="auto"/>
        <w:left w:val="none" w:sz="0" w:space="0" w:color="auto"/>
        <w:bottom w:val="none" w:sz="0" w:space="0" w:color="auto"/>
        <w:right w:val="none" w:sz="0" w:space="0" w:color="auto"/>
      </w:divBdr>
    </w:div>
    <w:div w:id="1734741039">
      <w:bodyDiv w:val="1"/>
      <w:marLeft w:val="0"/>
      <w:marRight w:val="0"/>
      <w:marTop w:val="0"/>
      <w:marBottom w:val="0"/>
      <w:divBdr>
        <w:top w:val="none" w:sz="0" w:space="0" w:color="auto"/>
        <w:left w:val="none" w:sz="0" w:space="0" w:color="auto"/>
        <w:bottom w:val="none" w:sz="0" w:space="0" w:color="auto"/>
        <w:right w:val="none" w:sz="0" w:space="0" w:color="auto"/>
      </w:divBdr>
    </w:div>
    <w:div w:id="1801607717">
      <w:bodyDiv w:val="1"/>
      <w:marLeft w:val="0"/>
      <w:marRight w:val="0"/>
      <w:marTop w:val="0"/>
      <w:marBottom w:val="0"/>
      <w:divBdr>
        <w:top w:val="none" w:sz="0" w:space="0" w:color="auto"/>
        <w:left w:val="none" w:sz="0" w:space="0" w:color="auto"/>
        <w:bottom w:val="none" w:sz="0" w:space="0" w:color="auto"/>
        <w:right w:val="none" w:sz="0" w:space="0" w:color="auto"/>
      </w:divBdr>
    </w:div>
    <w:div w:id="1824464293">
      <w:bodyDiv w:val="1"/>
      <w:marLeft w:val="0"/>
      <w:marRight w:val="0"/>
      <w:marTop w:val="0"/>
      <w:marBottom w:val="0"/>
      <w:divBdr>
        <w:top w:val="none" w:sz="0" w:space="0" w:color="auto"/>
        <w:left w:val="none" w:sz="0" w:space="0" w:color="auto"/>
        <w:bottom w:val="none" w:sz="0" w:space="0" w:color="auto"/>
        <w:right w:val="none" w:sz="0" w:space="0" w:color="auto"/>
      </w:divBdr>
    </w:div>
    <w:div w:id="1824538443">
      <w:bodyDiv w:val="1"/>
      <w:marLeft w:val="0"/>
      <w:marRight w:val="0"/>
      <w:marTop w:val="0"/>
      <w:marBottom w:val="0"/>
      <w:divBdr>
        <w:top w:val="none" w:sz="0" w:space="0" w:color="auto"/>
        <w:left w:val="none" w:sz="0" w:space="0" w:color="auto"/>
        <w:bottom w:val="none" w:sz="0" w:space="0" w:color="auto"/>
        <w:right w:val="none" w:sz="0" w:space="0" w:color="auto"/>
      </w:divBdr>
    </w:div>
    <w:div w:id="1853716613">
      <w:bodyDiv w:val="1"/>
      <w:marLeft w:val="0"/>
      <w:marRight w:val="0"/>
      <w:marTop w:val="0"/>
      <w:marBottom w:val="0"/>
      <w:divBdr>
        <w:top w:val="none" w:sz="0" w:space="0" w:color="auto"/>
        <w:left w:val="none" w:sz="0" w:space="0" w:color="auto"/>
        <w:bottom w:val="none" w:sz="0" w:space="0" w:color="auto"/>
        <w:right w:val="none" w:sz="0" w:space="0" w:color="auto"/>
      </w:divBdr>
    </w:div>
    <w:div w:id="1877887169">
      <w:bodyDiv w:val="1"/>
      <w:marLeft w:val="0"/>
      <w:marRight w:val="0"/>
      <w:marTop w:val="0"/>
      <w:marBottom w:val="0"/>
      <w:divBdr>
        <w:top w:val="none" w:sz="0" w:space="0" w:color="auto"/>
        <w:left w:val="none" w:sz="0" w:space="0" w:color="auto"/>
        <w:bottom w:val="none" w:sz="0" w:space="0" w:color="auto"/>
        <w:right w:val="none" w:sz="0" w:space="0" w:color="auto"/>
      </w:divBdr>
    </w:div>
    <w:div w:id="1957715383">
      <w:bodyDiv w:val="1"/>
      <w:marLeft w:val="0"/>
      <w:marRight w:val="0"/>
      <w:marTop w:val="0"/>
      <w:marBottom w:val="0"/>
      <w:divBdr>
        <w:top w:val="none" w:sz="0" w:space="0" w:color="auto"/>
        <w:left w:val="none" w:sz="0" w:space="0" w:color="auto"/>
        <w:bottom w:val="none" w:sz="0" w:space="0" w:color="auto"/>
        <w:right w:val="none" w:sz="0" w:space="0" w:color="auto"/>
      </w:divBdr>
    </w:div>
    <w:div w:id="2019581158">
      <w:bodyDiv w:val="1"/>
      <w:marLeft w:val="0"/>
      <w:marRight w:val="0"/>
      <w:marTop w:val="0"/>
      <w:marBottom w:val="0"/>
      <w:divBdr>
        <w:top w:val="none" w:sz="0" w:space="0" w:color="auto"/>
        <w:left w:val="none" w:sz="0" w:space="0" w:color="auto"/>
        <w:bottom w:val="none" w:sz="0" w:space="0" w:color="auto"/>
        <w:right w:val="none" w:sz="0" w:space="0" w:color="auto"/>
      </w:divBdr>
    </w:div>
    <w:div w:id="2023899950">
      <w:bodyDiv w:val="1"/>
      <w:marLeft w:val="0"/>
      <w:marRight w:val="0"/>
      <w:marTop w:val="0"/>
      <w:marBottom w:val="0"/>
      <w:divBdr>
        <w:top w:val="none" w:sz="0" w:space="0" w:color="auto"/>
        <w:left w:val="none" w:sz="0" w:space="0" w:color="auto"/>
        <w:bottom w:val="none" w:sz="0" w:space="0" w:color="auto"/>
        <w:right w:val="none" w:sz="0" w:space="0" w:color="auto"/>
      </w:divBdr>
    </w:div>
    <w:div w:id="2031832960">
      <w:bodyDiv w:val="1"/>
      <w:marLeft w:val="0"/>
      <w:marRight w:val="0"/>
      <w:marTop w:val="0"/>
      <w:marBottom w:val="0"/>
      <w:divBdr>
        <w:top w:val="none" w:sz="0" w:space="0" w:color="auto"/>
        <w:left w:val="none" w:sz="0" w:space="0" w:color="auto"/>
        <w:bottom w:val="none" w:sz="0" w:space="0" w:color="auto"/>
        <w:right w:val="none" w:sz="0" w:space="0" w:color="auto"/>
      </w:divBdr>
    </w:div>
    <w:div w:id="2079554310">
      <w:bodyDiv w:val="1"/>
      <w:marLeft w:val="0"/>
      <w:marRight w:val="0"/>
      <w:marTop w:val="0"/>
      <w:marBottom w:val="0"/>
      <w:divBdr>
        <w:top w:val="none" w:sz="0" w:space="0" w:color="auto"/>
        <w:left w:val="none" w:sz="0" w:space="0" w:color="auto"/>
        <w:bottom w:val="none" w:sz="0" w:space="0" w:color="auto"/>
        <w:right w:val="none" w:sz="0" w:space="0" w:color="auto"/>
      </w:divBdr>
    </w:div>
    <w:div w:id="2104060353">
      <w:bodyDiv w:val="1"/>
      <w:marLeft w:val="0"/>
      <w:marRight w:val="0"/>
      <w:marTop w:val="0"/>
      <w:marBottom w:val="0"/>
      <w:divBdr>
        <w:top w:val="none" w:sz="0" w:space="0" w:color="auto"/>
        <w:left w:val="none" w:sz="0" w:space="0" w:color="auto"/>
        <w:bottom w:val="none" w:sz="0" w:space="0" w:color="auto"/>
        <w:right w:val="none" w:sz="0" w:space="0" w:color="auto"/>
      </w:divBdr>
    </w:div>
    <w:div w:id="2115130571">
      <w:bodyDiv w:val="1"/>
      <w:marLeft w:val="0"/>
      <w:marRight w:val="0"/>
      <w:marTop w:val="0"/>
      <w:marBottom w:val="0"/>
      <w:divBdr>
        <w:top w:val="none" w:sz="0" w:space="0" w:color="auto"/>
        <w:left w:val="none" w:sz="0" w:space="0" w:color="auto"/>
        <w:bottom w:val="none" w:sz="0" w:space="0" w:color="auto"/>
        <w:right w:val="none" w:sz="0" w:space="0" w:color="auto"/>
      </w:divBdr>
    </w:div>
    <w:div w:id="2121415609">
      <w:bodyDiv w:val="1"/>
      <w:marLeft w:val="0"/>
      <w:marRight w:val="0"/>
      <w:marTop w:val="0"/>
      <w:marBottom w:val="0"/>
      <w:divBdr>
        <w:top w:val="none" w:sz="0" w:space="0" w:color="auto"/>
        <w:left w:val="none" w:sz="0" w:space="0" w:color="auto"/>
        <w:bottom w:val="none" w:sz="0" w:space="0" w:color="auto"/>
        <w:right w:val="none" w:sz="0" w:space="0" w:color="auto"/>
      </w:divBdr>
    </w:div>
    <w:div w:id="2126541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yperlink" Target="https://doi.org/10.1002/hec.4801" TargetMode="External"/><Relationship Id="rId26" Type="http://schemas.openxmlformats.org/officeDocument/2006/relationships/hyperlink" Target="https://skr.se/skr/tjanster/datase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itti.se/debatt/debatt-vi-maste-tillbaka-till-att-ge-vard-efter-behov-6.27.36924.365a8b22e8" TargetMode="External"/><Relationship Id="rId34" Type="http://schemas.openxmlformats.org/officeDocument/2006/relationships/hyperlink" Target="https://www.dn.se/sverige/region-stockholm-slopar-vardval-for-specialiserad-ogonsjukvard/" TargetMode="Externa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yperlink" Target="https://lakartidningen.se/aktuellt/nyheter/2023/02/region-stockholm-avskaffar-vardval-vid-utmattningssyndrom/" TargetMode="External"/><Relationship Id="rId25" Type="http://schemas.openxmlformats.org/officeDocument/2006/relationships/hyperlink" Target="https://skr.se/download/18.20fc4f3e18a1757f8fcb7ee7/1693991409961/Ekonomistatistik%202013-2022%200904.xlsx" TargetMode="External"/><Relationship Id="rId33" Type="http://schemas.openxmlformats.org/officeDocument/2006/relationships/hyperlink" Target="https://lakartidningen.se/aktuellt/nyheter/2024/02/nya-vandningen-telefonradgivning-via-1177-i-regional-regi-utreds-vidar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yperlink" Target="https://www.svd.se/a/4fc354e6-4df8-3f7f-89e3-9c170e9eb0be/langa-vardkoer-trots-manga-politiska-loften" TargetMode="External"/><Relationship Id="rId29" Type="http://schemas.openxmlformats.org/officeDocument/2006/relationships/hyperlink" Target="https://skr.se/vantetiderivarden/vantetidsstatistik/uppskattadvantetidochledigkapacitet/medelochmedianvantetid.73770.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s://www.dagensmedicin.se/vardens-styrning/politik/mottagning-sager-upp-avtal-i-fortid-nar-vardval-allergologi-avvecklas/" TargetMode="External"/><Relationship Id="rId32" Type="http://schemas.openxmlformats.org/officeDocument/2006/relationships/hyperlink" Target="https://www.dn.se/sverige/regionen-ska-ta-over-1177-vill-hanvisa-farre-till-akuten/"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hyperlink" Target="https://www.svd.se/a/aaf40e4d-166f-34f3-8008-0314a53d197f/genombrott-for-privat-sjukvard" TargetMode="External"/><Relationship Id="rId28" Type="http://schemas.openxmlformats.org/officeDocument/2006/relationships/hyperlink" Target="https://vardenisiffror.se/"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n.se/sverige/region-stockholm-vill-kopa-bolaget-bakom-1177/" TargetMode="External"/><Relationship Id="rId31" Type="http://schemas.openxmlformats.org/officeDocument/2006/relationships/hyperlink" Target="https://sdb.socialstyrelsen.se/if_par/val.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hyperlink" Target="https://doi.org/10.1002/hpm.2502" TargetMode="External"/><Relationship Id="rId27" Type="http://schemas.openxmlformats.org/officeDocument/2006/relationships/hyperlink" Target="https://skr.se/download/18.1055b2c8184b406e1d37d6b1/1680702557621/2022-11-VPI-2022.xlsx" TargetMode="External"/><Relationship Id="rId30" Type="http://schemas.openxmlformats.org/officeDocument/2006/relationships/hyperlink" Target="https://via.tt.se/pressmeddelande/3328145/satt-stopp-for-sonderprivatiseringen?publisherId=142377" TargetMode="External"/><Relationship Id="rId35" Type="http://schemas.openxmlformats.org/officeDocument/2006/relationships/hyperlink" Target="https://www.dn.se/nyheter/politik/fakta-i-fragan-har-vardkoerna-vuxi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Figur 1. Åldersstandardiserade</a:t>
            </a:r>
            <a:r>
              <a:rPr lang="en-GB" sz="1200" b="1" baseline="0"/>
              <a:t> antal besök/100 000 invånare</a:t>
            </a:r>
          </a:p>
          <a:p>
            <a:pPr>
              <a:defRPr/>
            </a:pPr>
            <a:r>
              <a:rPr lang="en-GB" sz="1200" b="0"/>
              <a:t>Sjukdomar i ögat och närliggande organ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9.1279375634826243E-2"/>
          <c:y val="0.17702065224528141"/>
          <c:w val="0.88446483605205362"/>
          <c:h val="0.64236109357401527"/>
        </c:manualLayout>
      </c:layout>
      <c:lineChart>
        <c:grouping val="standard"/>
        <c:varyColors val="0"/>
        <c:ser>
          <c:idx val="0"/>
          <c:order val="0"/>
          <c:tx>
            <c:strRef>
              <c:f>Sheet1!$B$1</c:f>
              <c:strCache>
                <c:ptCount val="1"/>
                <c:pt idx="0">
                  <c:v>Stockholms län</c:v>
                </c:pt>
              </c:strCache>
            </c:strRef>
          </c:tx>
          <c:spPr>
            <a:ln w="28575" cap="rnd">
              <a:solidFill>
                <a:schemeClr val="accent1"/>
              </a:solidFill>
              <a:round/>
            </a:ln>
            <a:effectLst/>
          </c:spPr>
          <c:marker>
            <c:symbol val="none"/>
          </c:marker>
          <c:dLbls>
            <c:dLbl>
              <c:idx val="8"/>
              <c:layout>
                <c:manualLayout>
                  <c:x val="-2.2050716648291151E-2"/>
                  <c:y val="0"/>
                </c:manualLayout>
              </c:layout>
              <c:tx>
                <c:rich>
                  <a:bodyPr rot="-5400000" spcFirstLastPara="1" vertOverflow="overflow" horzOverflow="overflow" vert="horz" wrap="square" lIns="36000" tIns="0" rIns="36000" bIns="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r>
                      <a:rPr lang="en-US" sz="900" b="0" i="0" u="none" strike="noStrike" kern="1200" baseline="0">
                        <a:solidFill>
                          <a:sysClr val="windowText" lastClr="000000">
                            <a:lumMod val="75000"/>
                            <a:lumOff val="25000"/>
                          </a:sysClr>
                        </a:solidFill>
                      </a:rPr>
                      <a:t>Vårdval ögon --------------------------------</a:t>
                    </a:r>
                  </a:p>
                </c:rich>
              </c:tx>
              <c:spPr>
                <a:noFill/>
                <a:ln>
                  <a:noFill/>
                </a:ln>
                <a:effectLst/>
              </c:spPr>
              <c:txPr>
                <a:bodyPr rot="-5400000" spcFirstLastPara="1" vertOverflow="overflow" horzOverflow="overflow" vert="horz" wrap="square" lIns="36000" tIns="0" rIns="36000" bIns="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showDataLabelsRange val="0"/>
                </c:ext>
                <c:ext xmlns:c16="http://schemas.microsoft.com/office/drawing/2014/chart" uri="{C3380CC4-5D6E-409C-BE32-E72D297353CC}">
                  <c16:uniqueId val="{00000000-E8AA-4C24-B551-58160D38260D}"/>
                </c:ext>
              </c:extLst>
            </c:dLbl>
            <c:spPr>
              <a:noFill/>
              <a:ln>
                <a:noFill/>
              </a:ln>
              <a:effectLst/>
            </c:spPr>
            <c:txPr>
              <a:bodyPr rot="0" spcFirstLastPara="1" vertOverflow="overflow" horzOverflow="overflow" vert="horz" wrap="square" lIns="36000" tIns="0" rIns="36000" bIns="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strCache>
            </c:strRef>
          </c:cat>
          <c:val>
            <c:numRef>
              <c:f>Sheet1!$B$2:$B$22</c:f>
              <c:numCache>
                <c:formatCode>#,##0.0</c:formatCode>
                <c:ptCount val="21"/>
                <c:pt idx="0">
                  <c:v>4540.1000000000004</c:v>
                </c:pt>
                <c:pt idx="1">
                  <c:v>5353.7</c:v>
                </c:pt>
                <c:pt idx="2">
                  <c:v>5090.2</c:v>
                </c:pt>
                <c:pt idx="3">
                  <c:v>6283</c:v>
                </c:pt>
                <c:pt idx="4">
                  <c:v>6298.2</c:v>
                </c:pt>
                <c:pt idx="5">
                  <c:v>7935.9</c:v>
                </c:pt>
                <c:pt idx="6">
                  <c:v>8051.6</c:v>
                </c:pt>
                <c:pt idx="7">
                  <c:v>8560.2000000000007</c:v>
                </c:pt>
                <c:pt idx="8">
                  <c:v>9640.7999999999993</c:v>
                </c:pt>
                <c:pt idx="9">
                  <c:v>14865.3</c:v>
                </c:pt>
                <c:pt idx="10">
                  <c:v>20275</c:v>
                </c:pt>
                <c:pt idx="11">
                  <c:v>20310.8</c:v>
                </c:pt>
                <c:pt idx="12">
                  <c:v>20109.099999999999</c:v>
                </c:pt>
                <c:pt idx="13">
                  <c:v>20738.400000000001</c:v>
                </c:pt>
                <c:pt idx="14">
                  <c:v>20715.599999999999</c:v>
                </c:pt>
                <c:pt idx="15">
                  <c:v>22039.5</c:v>
                </c:pt>
                <c:pt idx="16">
                  <c:v>21461</c:v>
                </c:pt>
                <c:pt idx="17">
                  <c:v>18796.2</c:v>
                </c:pt>
                <c:pt idx="18">
                  <c:v>20015.5</c:v>
                </c:pt>
                <c:pt idx="19">
                  <c:v>22408.9</c:v>
                </c:pt>
                <c:pt idx="20">
                  <c:v>21889.7</c:v>
                </c:pt>
              </c:numCache>
            </c:numRef>
          </c:val>
          <c:smooth val="0"/>
          <c:extLst>
            <c:ext xmlns:c16="http://schemas.microsoft.com/office/drawing/2014/chart" uri="{C3380CC4-5D6E-409C-BE32-E72D297353CC}">
              <c16:uniqueId val="{00000000-4920-436B-A994-0AF7E1EF30DB}"/>
            </c:ext>
          </c:extLst>
        </c:ser>
        <c:ser>
          <c:idx val="1"/>
          <c:order val="1"/>
          <c:tx>
            <c:strRef>
              <c:f>Sheet1!$C$1</c:f>
              <c:strCache>
                <c:ptCount val="1"/>
                <c:pt idx="0">
                  <c:v>Övriga län (oviktat snitt)</c:v>
                </c:pt>
              </c:strCache>
            </c:strRef>
          </c:tx>
          <c:spPr>
            <a:ln w="28575" cap="rnd">
              <a:solidFill>
                <a:schemeClr val="accent2"/>
              </a:solidFill>
              <a:round/>
            </a:ln>
            <a:effectLst/>
          </c:spPr>
          <c:marker>
            <c:symbol val="none"/>
          </c:marker>
          <c:cat>
            <c:strRef>
              <c:f>Sheet1!$A$2:$A$22</c:f>
              <c:strCach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strCache>
            </c:strRef>
          </c:cat>
          <c:val>
            <c:numRef>
              <c:f>Sheet1!$C$2:$C$22</c:f>
              <c:numCache>
                <c:formatCode>#,##0</c:formatCode>
                <c:ptCount val="21"/>
                <c:pt idx="0">
                  <c:v>5872.3499999999985</c:v>
                </c:pt>
                <c:pt idx="1">
                  <c:v>5462.9999999999991</c:v>
                </c:pt>
                <c:pt idx="2">
                  <c:v>6384.9400000000005</c:v>
                </c:pt>
                <c:pt idx="3">
                  <c:v>6872.920000000001</c:v>
                </c:pt>
                <c:pt idx="4">
                  <c:v>7461.9150000000009</c:v>
                </c:pt>
                <c:pt idx="5">
                  <c:v>7629.9650000000011</c:v>
                </c:pt>
                <c:pt idx="6">
                  <c:v>7733.1299999999992</c:v>
                </c:pt>
                <c:pt idx="7">
                  <c:v>7913.8849999999975</c:v>
                </c:pt>
                <c:pt idx="8">
                  <c:v>8417.3149999999987</c:v>
                </c:pt>
                <c:pt idx="9">
                  <c:v>8747.755000000001</c:v>
                </c:pt>
                <c:pt idx="10">
                  <c:v>9211.3249999999989</c:v>
                </c:pt>
                <c:pt idx="11">
                  <c:v>9146.5749999999989</c:v>
                </c:pt>
                <c:pt idx="12">
                  <c:v>8640.1049999999977</c:v>
                </c:pt>
                <c:pt idx="13">
                  <c:v>8742.48</c:v>
                </c:pt>
                <c:pt idx="14">
                  <c:v>8762.755000000001</c:v>
                </c:pt>
                <c:pt idx="15">
                  <c:v>8959.7950000000019</c:v>
                </c:pt>
                <c:pt idx="16">
                  <c:v>9026.16</c:v>
                </c:pt>
                <c:pt idx="17">
                  <c:v>8182.3349999999973</c:v>
                </c:pt>
                <c:pt idx="18">
                  <c:v>8524.6499999999978</c:v>
                </c:pt>
                <c:pt idx="19">
                  <c:v>8717.2800000000007</c:v>
                </c:pt>
                <c:pt idx="20">
                  <c:v>9095.4849999999988</c:v>
                </c:pt>
              </c:numCache>
            </c:numRef>
          </c:val>
          <c:smooth val="0"/>
          <c:extLst>
            <c:ext xmlns:c16="http://schemas.microsoft.com/office/drawing/2014/chart" uri="{C3380CC4-5D6E-409C-BE32-E72D297353CC}">
              <c16:uniqueId val="{00000001-4920-436B-A994-0AF7E1EF30DB}"/>
            </c:ext>
          </c:extLst>
        </c:ser>
        <c:dLbls>
          <c:showLegendKey val="0"/>
          <c:showVal val="0"/>
          <c:showCatName val="0"/>
          <c:showSerName val="0"/>
          <c:showPercent val="0"/>
          <c:showBubbleSize val="0"/>
        </c:dLbls>
        <c:smooth val="0"/>
        <c:axId val="343874128"/>
        <c:axId val="234741840"/>
      </c:lineChart>
      <c:catAx>
        <c:axId val="34387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6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34741840"/>
        <c:crosses val="autoZero"/>
        <c:auto val="1"/>
        <c:lblAlgn val="ctr"/>
        <c:lblOffset val="100"/>
        <c:noMultiLvlLbl val="0"/>
      </c:catAx>
      <c:valAx>
        <c:axId val="234741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4387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Figur 2. Åldersstandardiserade</a:t>
            </a:r>
            <a:r>
              <a:rPr lang="en-GB" sz="1200" b="1" baseline="0"/>
              <a:t> antal besök/100 000 invånare</a:t>
            </a:r>
          </a:p>
          <a:p>
            <a:pPr>
              <a:defRPr sz="1400" b="0" i="0" u="none" strike="noStrike" kern="1200" spc="0" baseline="0">
                <a:solidFill>
                  <a:schemeClr val="tx1">
                    <a:lumMod val="65000"/>
                    <a:lumOff val="35000"/>
                  </a:schemeClr>
                </a:solidFill>
                <a:latin typeface="+mn-lt"/>
                <a:ea typeface="+mn-ea"/>
                <a:cs typeface="+mn-cs"/>
              </a:defRPr>
            </a:pPr>
            <a:r>
              <a:rPr lang="en-GB" sz="1200" b="0" i="0" u="none" strike="noStrike" kern="1200" spc="0" baseline="0">
                <a:solidFill>
                  <a:sysClr val="windowText" lastClr="000000">
                    <a:lumMod val="65000"/>
                    <a:lumOff val="35000"/>
                  </a:sysClr>
                </a:solidFill>
              </a:rPr>
              <a:t>Alkoholrelaterade diagnoser</a:t>
            </a:r>
          </a:p>
        </c:rich>
      </c:tx>
      <c:overlay val="0"/>
      <c:spPr>
        <a:noFill/>
        <a:ln>
          <a:noFill/>
        </a:ln>
        <a:effectLst/>
      </c:spPr>
    </c:title>
    <c:autoTitleDeleted val="0"/>
    <c:plotArea>
      <c:layout>
        <c:manualLayout>
          <c:layoutTarget val="inner"/>
          <c:xMode val="edge"/>
          <c:yMode val="edge"/>
          <c:x val="9.1279375634826243E-2"/>
          <c:y val="0.17702065224528141"/>
          <c:w val="0.88446483605205362"/>
          <c:h val="0.64236109357401527"/>
        </c:manualLayout>
      </c:layout>
      <c:lineChart>
        <c:grouping val="standard"/>
        <c:varyColors val="0"/>
        <c:ser>
          <c:idx val="0"/>
          <c:order val="0"/>
          <c:tx>
            <c:strRef>
              <c:f>Sheet1!$B$1</c:f>
              <c:strCache>
                <c:ptCount val="1"/>
                <c:pt idx="0">
                  <c:v>Stockholms län</c:v>
                </c:pt>
              </c:strCache>
            </c:strRef>
          </c:tx>
          <c:spPr>
            <a:ln w="28575" cap="rnd">
              <a:solidFill>
                <a:schemeClr val="accent1"/>
              </a:solidFill>
              <a:round/>
            </a:ln>
            <a:effectLst/>
          </c:spPr>
          <c:marker>
            <c:symbol val="none"/>
          </c:marker>
          <c:dLbls>
            <c:dLbl>
              <c:idx val="2"/>
              <c:layout>
                <c:manualLayout>
                  <c:x val="-2.4390243902439025E-2"/>
                  <c:y val="-0.16126431220770843"/>
                </c:manualLayout>
              </c:layout>
              <c:tx>
                <c:rich>
                  <a:bodyPr rot="5400000" spcFirstLastPara="1" vertOverflow="ellipsis" vert="horz" wrap="non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r>
                      <a:rPr lang="en-US" sz="900" b="0" i="0" u="none" strike="noStrike" kern="1200" baseline="0">
                        <a:solidFill>
                          <a:sysClr val="windowText" lastClr="000000">
                            <a:lumMod val="75000"/>
                            <a:lumOff val="25000"/>
                          </a:sysClr>
                        </a:solidFill>
                      </a:rPr>
                      <a:t>Vårdgaranti --------------------</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0-F29A-49F1-BECC-4A525332C40F}"/>
                </c:ext>
              </c:extLst>
            </c:dLbl>
            <c:dLbl>
              <c:idx val="7"/>
              <c:layout>
                <c:manualLayout>
                  <c:x val="-2.6607538802660834E-2"/>
                  <c:y val="9.9983873568779205E-2"/>
                </c:manualLayout>
              </c:layout>
              <c:tx>
                <c:rich>
                  <a:bodyPr rot="5400000" spcFirstLastPara="1" vertOverflow="overflow" horzOverflow="overflow" vert="horz" wrap="non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r>
                      <a:rPr lang="en-US" sz="900" b="0" i="0" u="none" strike="noStrike" kern="1200" baseline="0">
                        <a:solidFill>
                          <a:sysClr val="windowText" lastClr="000000">
                            <a:lumMod val="75000"/>
                            <a:lumOff val="25000"/>
                          </a:sysClr>
                        </a:solidFill>
                      </a:rPr>
                      <a:t>Vårdgaranti lagstadgad-------------------------</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1-F29A-49F1-BECC-4A525332C40F}"/>
                </c:ext>
              </c:extLst>
            </c:dLbl>
            <c:spPr>
              <a:noFill/>
              <a:ln>
                <a:noFill/>
              </a:ln>
              <a:effectLst/>
            </c:spPr>
            <c:txPr>
              <a:bodyPr rot="0" spcFirstLastPara="1" vertOverflow="overflow" horzOverflow="overflow" vert="horz" wrap="none" lIns="36000" tIns="0" rIns="36000" bIns="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strCache>
            </c:strRef>
          </c:cat>
          <c:val>
            <c:numRef>
              <c:f>Sheet1!$B$2:$B$22</c:f>
              <c:numCache>
                <c:formatCode>#,##0.0</c:formatCode>
                <c:ptCount val="21"/>
                <c:pt idx="0">
                  <c:v>210.8</c:v>
                </c:pt>
                <c:pt idx="1">
                  <c:v>288.7</c:v>
                </c:pt>
                <c:pt idx="2">
                  <c:v>236.9</c:v>
                </c:pt>
                <c:pt idx="3">
                  <c:v>780.1</c:v>
                </c:pt>
                <c:pt idx="4">
                  <c:v>1007.8</c:v>
                </c:pt>
                <c:pt idx="5">
                  <c:v>1116.5</c:v>
                </c:pt>
                <c:pt idx="6">
                  <c:v>1120.2</c:v>
                </c:pt>
                <c:pt idx="7">
                  <c:v>1337.7</c:v>
                </c:pt>
                <c:pt idx="8">
                  <c:v>1470.3</c:v>
                </c:pt>
                <c:pt idx="9">
                  <c:v>1592.6</c:v>
                </c:pt>
                <c:pt idx="10">
                  <c:v>1641.2</c:v>
                </c:pt>
                <c:pt idx="11">
                  <c:v>1782.1</c:v>
                </c:pt>
                <c:pt idx="12">
                  <c:v>1766.9</c:v>
                </c:pt>
                <c:pt idx="13">
                  <c:v>1746.9</c:v>
                </c:pt>
                <c:pt idx="14">
                  <c:v>1685</c:v>
                </c:pt>
                <c:pt idx="15">
                  <c:v>1701.9</c:v>
                </c:pt>
                <c:pt idx="16">
                  <c:v>1646.7</c:v>
                </c:pt>
                <c:pt idx="17">
                  <c:v>1658</c:v>
                </c:pt>
                <c:pt idx="18">
                  <c:v>1724.2</c:v>
                </c:pt>
                <c:pt idx="19">
                  <c:v>1767.8</c:v>
                </c:pt>
                <c:pt idx="20">
                  <c:v>1868.2</c:v>
                </c:pt>
              </c:numCache>
            </c:numRef>
          </c:val>
          <c:smooth val="0"/>
          <c:extLst>
            <c:ext xmlns:c16="http://schemas.microsoft.com/office/drawing/2014/chart" uri="{C3380CC4-5D6E-409C-BE32-E72D297353CC}">
              <c16:uniqueId val="{00000001-9D9E-46BC-913B-D2D389F73349}"/>
            </c:ext>
          </c:extLst>
        </c:ser>
        <c:ser>
          <c:idx val="1"/>
          <c:order val="1"/>
          <c:tx>
            <c:strRef>
              <c:f>Sheet1!$C$1</c:f>
              <c:strCache>
                <c:ptCount val="1"/>
                <c:pt idx="0">
                  <c:v>Övriga län (oviktat snitt)</c:v>
                </c:pt>
              </c:strCache>
            </c:strRef>
          </c:tx>
          <c:spPr>
            <a:ln w="28575" cap="rnd">
              <a:solidFill>
                <a:schemeClr val="accent2"/>
              </a:solidFill>
              <a:round/>
            </a:ln>
            <a:effectLst/>
          </c:spPr>
          <c:marker>
            <c:symbol val="none"/>
          </c:marker>
          <c:cat>
            <c:strRef>
              <c:f>Sheet1!$A$2:$A$22</c:f>
              <c:strCach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strCache>
            </c:strRef>
          </c:cat>
          <c:val>
            <c:numRef>
              <c:f>Sheet1!$C$2:$C$22</c:f>
              <c:numCache>
                <c:formatCode>General</c:formatCode>
                <c:ptCount val="21"/>
                <c:pt idx="0">
                  <c:v>224.90000000000003</c:v>
                </c:pt>
                <c:pt idx="1">
                  <c:v>254.73500000000004</c:v>
                </c:pt>
                <c:pt idx="2">
                  <c:v>291.11499999999995</c:v>
                </c:pt>
                <c:pt idx="3">
                  <c:v>299.44499999999999</c:v>
                </c:pt>
                <c:pt idx="4">
                  <c:v>373.24</c:v>
                </c:pt>
                <c:pt idx="5">
                  <c:v>399.21</c:v>
                </c:pt>
                <c:pt idx="6">
                  <c:v>442.09000000000003</c:v>
                </c:pt>
                <c:pt idx="7">
                  <c:v>424.10500000000002</c:v>
                </c:pt>
                <c:pt idx="8">
                  <c:v>458.05999999999995</c:v>
                </c:pt>
                <c:pt idx="9">
                  <c:v>466.40000000000009</c:v>
                </c:pt>
                <c:pt idx="10">
                  <c:v>489.14000000000004</c:v>
                </c:pt>
                <c:pt idx="11">
                  <c:v>495.9</c:v>
                </c:pt>
                <c:pt idx="12">
                  <c:v>618.16</c:v>
                </c:pt>
                <c:pt idx="13">
                  <c:v>601.7700000000001</c:v>
                </c:pt>
                <c:pt idx="14">
                  <c:v>606.03500000000008</c:v>
                </c:pt>
                <c:pt idx="15">
                  <c:v>600.11500000000001</c:v>
                </c:pt>
                <c:pt idx="16">
                  <c:v>606.08499999999981</c:v>
                </c:pt>
                <c:pt idx="17">
                  <c:v>596.25499999999988</c:v>
                </c:pt>
                <c:pt idx="18">
                  <c:v>626.71000000000015</c:v>
                </c:pt>
                <c:pt idx="19">
                  <c:v>649.4649999999998</c:v>
                </c:pt>
                <c:pt idx="20">
                  <c:v>672.5100000000001</c:v>
                </c:pt>
              </c:numCache>
            </c:numRef>
          </c:val>
          <c:smooth val="0"/>
          <c:extLst>
            <c:ext xmlns:c16="http://schemas.microsoft.com/office/drawing/2014/chart" uri="{C3380CC4-5D6E-409C-BE32-E72D297353CC}">
              <c16:uniqueId val="{00000002-9D9E-46BC-913B-D2D389F73349}"/>
            </c:ext>
          </c:extLst>
        </c:ser>
        <c:dLbls>
          <c:showLegendKey val="0"/>
          <c:showVal val="0"/>
          <c:showCatName val="0"/>
          <c:showSerName val="0"/>
          <c:showPercent val="0"/>
          <c:showBubbleSize val="0"/>
        </c:dLbls>
        <c:smooth val="0"/>
        <c:axId val="343874128"/>
        <c:axId val="234741840"/>
      </c:lineChart>
      <c:catAx>
        <c:axId val="34387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6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34741840"/>
        <c:crosses val="autoZero"/>
        <c:auto val="1"/>
        <c:lblAlgn val="ctr"/>
        <c:lblOffset val="100"/>
        <c:noMultiLvlLbl val="0"/>
      </c:catAx>
      <c:valAx>
        <c:axId val="234741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4387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Figur 3. Åldersstandardiserade</a:t>
            </a:r>
            <a:r>
              <a:rPr lang="en-GB" sz="1200" b="1" baseline="0"/>
              <a:t> antal besök/100 000 invånare</a:t>
            </a:r>
          </a:p>
          <a:p>
            <a:pPr>
              <a:defRPr sz="1400" b="0" i="0" u="none" strike="noStrike" kern="1200" spc="0" baseline="0">
                <a:solidFill>
                  <a:schemeClr val="tx1">
                    <a:lumMod val="65000"/>
                    <a:lumOff val="35000"/>
                  </a:schemeClr>
                </a:solidFill>
                <a:latin typeface="+mn-lt"/>
                <a:ea typeface="+mn-ea"/>
                <a:cs typeface="+mn-cs"/>
              </a:defRPr>
            </a:pPr>
            <a:r>
              <a:rPr lang="en-GB" sz="1200" b="0" i="0" u="none" strike="noStrike" kern="1200" spc="0" baseline="0">
                <a:solidFill>
                  <a:sysClr val="windowText" lastClr="000000">
                    <a:lumMod val="65000"/>
                    <a:lumOff val="35000"/>
                  </a:sysClr>
                </a:solidFill>
                <a:effectLst/>
              </a:rPr>
              <a:t>Psykiska sjukdomar och syndrom samt beteendestörningar</a:t>
            </a:r>
          </a:p>
        </c:rich>
      </c:tx>
      <c:overlay val="0"/>
      <c:spPr>
        <a:noFill/>
        <a:ln>
          <a:noFill/>
        </a:ln>
        <a:effectLst/>
      </c:spPr>
    </c:title>
    <c:autoTitleDeleted val="0"/>
    <c:plotArea>
      <c:layout>
        <c:manualLayout>
          <c:layoutTarget val="inner"/>
          <c:xMode val="edge"/>
          <c:yMode val="edge"/>
          <c:x val="9.1279375634826243E-2"/>
          <c:y val="0.17702065224528141"/>
          <c:w val="0.88446483605205362"/>
          <c:h val="0.64236109357401527"/>
        </c:manualLayout>
      </c:layout>
      <c:lineChart>
        <c:grouping val="standard"/>
        <c:varyColors val="0"/>
        <c:ser>
          <c:idx val="0"/>
          <c:order val="0"/>
          <c:tx>
            <c:strRef>
              <c:f>Sheet1!$B$1</c:f>
              <c:strCache>
                <c:ptCount val="1"/>
                <c:pt idx="0">
                  <c:v>Stockholms län</c:v>
                </c:pt>
              </c:strCache>
            </c:strRef>
          </c:tx>
          <c:spPr>
            <a:ln w="28575" cap="rnd">
              <a:solidFill>
                <a:schemeClr val="accent1"/>
              </a:solidFill>
              <a:round/>
            </a:ln>
            <a:effectLst/>
          </c:spPr>
          <c:marker>
            <c:symbol val="none"/>
          </c:marker>
          <c:dLbls>
            <c:dLbl>
              <c:idx val="2"/>
              <c:layout>
                <c:manualLayout>
                  <c:x val="-2.2172949002217297E-2"/>
                  <c:y val="-0.18061602967263343"/>
                </c:manualLayout>
              </c:layout>
              <c:tx>
                <c:rich>
                  <a:bodyPr rot="5400000" spcFirstLastPara="1" vertOverflow="ellipsis" vert="horz" wrap="non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en-US"/>
                      <a:t>Vårdgaranti-------------------------------------</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0-4264-4861-975B-29D2AB37D726}"/>
                </c:ext>
              </c:extLst>
            </c:dLbl>
            <c:dLbl>
              <c:idx val="7"/>
              <c:layout>
                <c:manualLayout>
                  <c:x val="-2.4390243902439105E-2"/>
                  <c:y val="-1.6126431220770874E-2"/>
                </c:manualLayout>
              </c:layout>
              <c:tx>
                <c:rich>
                  <a:bodyPr rot="5400000" spcFirstLastPara="1" vertOverflow="ellipsis" vert="horz" wrap="non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r>
                      <a:rPr lang="en-US" sz="900" b="0" i="0" u="none" strike="noStrike" kern="1200" baseline="0">
                        <a:solidFill>
                          <a:sysClr val="windowText" lastClr="000000">
                            <a:lumMod val="75000"/>
                            <a:lumOff val="25000"/>
                          </a:sysClr>
                        </a:solidFill>
                      </a:rPr>
                      <a:t>Vårdgaranti lagsttadgad-----------------------------------</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1-4264-4861-975B-29D2AB37D7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strCache>
            </c:strRef>
          </c:cat>
          <c:val>
            <c:numRef>
              <c:f>Sheet1!$B$2:$B$22</c:f>
              <c:numCache>
                <c:formatCode>General</c:formatCode>
                <c:ptCount val="21"/>
                <c:pt idx="0">
                  <c:v>1058.5</c:v>
                </c:pt>
                <c:pt idx="1">
                  <c:v>1054.5999999999999</c:v>
                </c:pt>
                <c:pt idx="2">
                  <c:v>993.9</c:v>
                </c:pt>
                <c:pt idx="3">
                  <c:v>6864.2</c:v>
                </c:pt>
                <c:pt idx="4">
                  <c:v>7747.9</c:v>
                </c:pt>
                <c:pt idx="5">
                  <c:v>9252</c:v>
                </c:pt>
                <c:pt idx="6">
                  <c:v>8280.9</c:v>
                </c:pt>
                <c:pt idx="7">
                  <c:v>9917.2000000000007</c:v>
                </c:pt>
                <c:pt idx="8">
                  <c:v>12439.3</c:v>
                </c:pt>
                <c:pt idx="9">
                  <c:v>14837.2</c:v>
                </c:pt>
                <c:pt idx="10">
                  <c:v>15996.9</c:v>
                </c:pt>
                <c:pt idx="11">
                  <c:v>16813.599999999999</c:v>
                </c:pt>
                <c:pt idx="12">
                  <c:v>16880.900000000001</c:v>
                </c:pt>
                <c:pt idx="13">
                  <c:v>17213.3</c:v>
                </c:pt>
                <c:pt idx="14">
                  <c:v>17652.900000000001</c:v>
                </c:pt>
                <c:pt idx="15">
                  <c:v>17882.8</c:v>
                </c:pt>
                <c:pt idx="16">
                  <c:v>17820.400000000001</c:v>
                </c:pt>
                <c:pt idx="17">
                  <c:v>18358.8</c:v>
                </c:pt>
                <c:pt idx="18">
                  <c:v>18830.5</c:v>
                </c:pt>
                <c:pt idx="19">
                  <c:v>18785.900000000001</c:v>
                </c:pt>
                <c:pt idx="20">
                  <c:v>18920.900000000001</c:v>
                </c:pt>
              </c:numCache>
            </c:numRef>
          </c:val>
          <c:smooth val="0"/>
          <c:extLst>
            <c:ext xmlns:c16="http://schemas.microsoft.com/office/drawing/2014/chart" uri="{C3380CC4-5D6E-409C-BE32-E72D297353CC}">
              <c16:uniqueId val="{00000001-5264-408C-84BA-80F7D5874911}"/>
            </c:ext>
          </c:extLst>
        </c:ser>
        <c:ser>
          <c:idx val="1"/>
          <c:order val="1"/>
          <c:tx>
            <c:strRef>
              <c:f>Sheet1!$C$1</c:f>
              <c:strCache>
                <c:ptCount val="1"/>
                <c:pt idx="0">
                  <c:v>Övriga län (oviktat snitt)</c:v>
                </c:pt>
              </c:strCache>
            </c:strRef>
          </c:tx>
          <c:spPr>
            <a:ln w="28575" cap="rnd">
              <a:solidFill>
                <a:schemeClr val="accent2"/>
              </a:solidFill>
              <a:round/>
            </a:ln>
            <a:effectLst/>
          </c:spPr>
          <c:marker>
            <c:symbol val="none"/>
          </c:marker>
          <c:cat>
            <c:strRef>
              <c:f>Sheet1!$A$2:$A$22</c:f>
              <c:strCach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strCache>
            </c:strRef>
          </c:cat>
          <c:val>
            <c:numRef>
              <c:f>Sheet1!$C$2:$C$22</c:f>
              <c:numCache>
                <c:formatCode>General</c:formatCode>
                <c:ptCount val="21"/>
                <c:pt idx="0">
                  <c:v>2327.2599999999993</c:v>
                </c:pt>
                <c:pt idx="1">
                  <c:v>2693.1499999999996</c:v>
                </c:pt>
                <c:pt idx="2">
                  <c:v>3282.4850000000006</c:v>
                </c:pt>
                <c:pt idx="3">
                  <c:v>3577.95</c:v>
                </c:pt>
                <c:pt idx="4">
                  <c:v>4762.9550000000008</c:v>
                </c:pt>
                <c:pt idx="5">
                  <c:v>5489.7749999999996</c:v>
                </c:pt>
                <c:pt idx="6">
                  <c:v>6035.6949999999997</c:v>
                </c:pt>
                <c:pt idx="7">
                  <c:v>6018.54</c:v>
                </c:pt>
                <c:pt idx="8">
                  <c:v>6666.5499999999984</c:v>
                </c:pt>
                <c:pt idx="9">
                  <c:v>7019.2499999999982</c:v>
                </c:pt>
                <c:pt idx="10">
                  <c:v>7578.529999999997</c:v>
                </c:pt>
                <c:pt idx="11">
                  <c:v>7744.4650000000011</c:v>
                </c:pt>
                <c:pt idx="12">
                  <c:v>8718.1349999999984</c:v>
                </c:pt>
                <c:pt idx="13">
                  <c:v>8765.5800000000017</c:v>
                </c:pt>
                <c:pt idx="14">
                  <c:v>9175.2649999999994</c:v>
                </c:pt>
                <c:pt idx="15">
                  <c:v>9353.659999999998</c:v>
                </c:pt>
                <c:pt idx="16">
                  <c:v>9836.9400000000023</c:v>
                </c:pt>
                <c:pt idx="17">
                  <c:v>9866.6850000000013</c:v>
                </c:pt>
                <c:pt idx="18">
                  <c:v>10434.950000000001</c:v>
                </c:pt>
                <c:pt idx="19">
                  <c:v>10647.514999999999</c:v>
                </c:pt>
                <c:pt idx="20">
                  <c:v>11035.73</c:v>
                </c:pt>
              </c:numCache>
            </c:numRef>
          </c:val>
          <c:smooth val="0"/>
          <c:extLst>
            <c:ext xmlns:c16="http://schemas.microsoft.com/office/drawing/2014/chart" uri="{C3380CC4-5D6E-409C-BE32-E72D297353CC}">
              <c16:uniqueId val="{00000002-5264-408C-84BA-80F7D5874911}"/>
            </c:ext>
          </c:extLst>
        </c:ser>
        <c:dLbls>
          <c:showLegendKey val="0"/>
          <c:showVal val="0"/>
          <c:showCatName val="0"/>
          <c:showSerName val="0"/>
          <c:showPercent val="0"/>
          <c:showBubbleSize val="0"/>
        </c:dLbls>
        <c:smooth val="0"/>
        <c:axId val="343874128"/>
        <c:axId val="234741840"/>
      </c:lineChart>
      <c:catAx>
        <c:axId val="34387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6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34741840"/>
        <c:crosses val="autoZero"/>
        <c:auto val="1"/>
        <c:lblAlgn val="ctr"/>
        <c:lblOffset val="100"/>
        <c:noMultiLvlLbl val="0"/>
      </c:catAx>
      <c:valAx>
        <c:axId val="234741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4387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Figur 4. Åldersstandardiserade</a:t>
            </a:r>
            <a:r>
              <a:rPr lang="en-GB" sz="1200" b="1" baseline="0"/>
              <a:t> antal besök/100 000 invånare</a:t>
            </a:r>
          </a:p>
          <a:p>
            <a:pPr>
              <a:defRPr sz="1400" b="0" i="0" u="none" strike="noStrike" kern="1200" spc="0" baseline="0">
                <a:solidFill>
                  <a:schemeClr val="tx1">
                    <a:lumMod val="65000"/>
                    <a:lumOff val="35000"/>
                  </a:schemeClr>
                </a:solidFill>
                <a:latin typeface="+mn-lt"/>
                <a:ea typeface="+mn-ea"/>
                <a:cs typeface="+mn-cs"/>
              </a:defRPr>
            </a:pPr>
            <a:r>
              <a:rPr lang="en-GB" sz="1200" b="0"/>
              <a:t>Sjukdomar i ögat och närliggande organ</a:t>
            </a:r>
          </a:p>
        </c:rich>
      </c:tx>
      <c:overlay val="0"/>
      <c:spPr>
        <a:noFill/>
        <a:ln>
          <a:noFill/>
        </a:ln>
        <a:effectLst/>
      </c:spPr>
    </c:title>
    <c:autoTitleDeleted val="0"/>
    <c:plotArea>
      <c:layout/>
      <c:lineChart>
        <c:grouping val="standard"/>
        <c:varyColors val="0"/>
        <c:ser>
          <c:idx val="0"/>
          <c:order val="0"/>
          <c:tx>
            <c:strRef>
              <c:f>Sheet1!$B$1</c:f>
              <c:strCache>
                <c:ptCount val="1"/>
                <c:pt idx="0">
                  <c:v>Stockholms län</c:v>
                </c:pt>
              </c:strCache>
            </c:strRef>
          </c:tx>
          <c:spPr>
            <a:ln w="28575" cap="rnd">
              <a:solidFill>
                <a:schemeClr val="accent1"/>
              </a:solidFill>
              <a:round/>
            </a:ln>
            <a:effectLst/>
          </c:spPr>
          <c:marker>
            <c:symbol val="none"/>
          </c:marker>
          <c:dLbls>
            <c:dLbl>
              <c:idx val="8"/>
              <c:layout>
                <c:manualLayout>
                  <c:x val="-2.4390243902439025E-2"/>
                  <c:y val="5.8055152394775038E-2"/>
                </c:manualLayout>
              </c:layout>
              <c:tx>
                <c:rich>
                  <a:bodyPr rot="-5400000" vert="horz" wrap="non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800" b="0" i="0" u="none" strike="noStrike" kern="1200" baseline="0">
                        <a:solidFill>
                          <a:sysClr val="windowText" lastClr="000000">
                            <a:lumMod val="75000"/>
                            <a:lumOff val="25000"/>
                          </a:sysClr>
                        </a:solidFill>
                      </a:rPr>
                      <a:t>Vårdval Sthlm ----------------------------</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0-E121-417A-816C-1FF28F1E6C8D}"/>
                </c:ext>
              </c:extLst>
            </c:dLbl>
            <c:spPr>
              <a:noFill/>
              <a:ln>
                <a:noFill/>
              </a:ln>
              <a:effectLst/>
            </c:spPr>
            <c:txPr>
              <a:bodyPr rot="0" spcFirstLastPara="1" vertOverflow="overflow" horzOverflow="overflow" vert="horz" wrap="square" lIns="36000" tIns="0" rIns="36000" bIns="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ext>
            </c:extLst>
          </c:dLbls>
          <c:cat>
            <c:strRef>
              <c:f>Sheet1!$A$2:$A$22</c:f>
              <c:strCach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strCache>
            </c:strRef>
          </c:cat>
          <c:val>
            <c:numRef>
              <c:f>Sheet1!$B$2:$B$22</c:f>
              <c:numCache>
                <c:formatCode>#,##0.0</c:formatCode>
                <c:ptCount val="21"/>
                <c:pt idx="0">
                  <c:v>4540.1000000000004</c:v>
                </c:pt>
                <c:pt idx="1">
                  <c:v>5353.7</c:v>
                </c:pt>
                <c:pt idx="2">
                  <c:v>5090.2</c:v>
                </c:pt>
                <c:pt idx="3">
                  <c:v>6283</c:v>
                </c:pt>
                <c:pt idx="4">
                  <c:v>6298.2</c:v>
                </c:pt>
                <c:pt idx="5">
                  <c:v>7935.9</c:v>
                </c:pt>
                <c:pt idx="6">
                  <c:v>8051.6</c:v>
                </c:pt>
                <c:pt idx="7">
                  <c:v>8560.2000000000007</c:v>
                </c:pt>
                <c:pt idx="8">
                  <c:v>9640.7999999999993</c:v>
                </c:pt>
                <c:pt idx="9">
                  <c:v>14865.3</c:v>
                </c:pt>
                <c:pt idx="10">
                  <c:v>20275</c:v>
                </c:pt>
                <c:pt idx="11">
                  <c:v>20310.8</c:v>
                </c:pt>
                <c:pt idx="12">
                  <c:v>20109.099999999999</c:v>
                </c:pt>
                <c:pt idx="13">
                  <c:v>20738.400000000001</c:v>
                </c:pt>
                <c:pt idx="14">
                  <c:v>20715.599999999999</c:v>
                </c:pt>
                <c:pt idx="15">
                  <c:v>22039.5</c:v>
                </c:pt>
                <c:pt idx="16">
                  <c:v>21461</c:v>
                </c:pt>
                <c:pt idx="17">
                  <c:v>18796.2</c:v>
                </c:pt>
                <c:pt idx="18">
                  <c:v>20015.5</c:v>
                </c:pt>
                <c:pt idx="19">
                  <c:v>22408.9</c:v>
                </c:pt>
                <c:pt idx="20">
                  <c:v>21889.7</c:v>
                </c:pt>
              </c:numCache>
            </c:numRef>
          </c:val>
          <c:smooth val="0"/>
          <c:extLst>
            <c:ext xmlns:c16="http://schemas.microsoft.com/office/drawing/2014/chart" uri="{C3380CC4-5D6E-409C-BE32-E72D297353CC}">
              <c16:uniqueId val="{00000001-4067-4427-B405-4B81408CED23}"/>
            </c:ext>
          </c:extLst>
        </c:ser>
        <c:ser>
          <c:idx val="1"/>
          <c:order val="1"/>
          <c:tx>
            <c:strRef>
              <c:f>Sheet1!$C$1</c:f>
              <c:strCache>
                <c:ptCount val="1"/>
                <c:pt idx="0">
                  <c:v>Uppsala län</c:v>
                </c:pt>
              </c:strCache>
            </c:strRef>
          </c:tx>
          <c:spPr>
            <a:ln w="28575" cap="rnd">
              <a:solidFill>
                <a:schemeClr val="accent2"/>
              </a:solidFill>
              <a:round/>
            </a:ln>
            <a:effectLst/>
          </c:spPr>
          <c:marker>
            <c:symbol val="none"/>
          </c:marker>
          <c:cat>
            <c:strRef>
              <c:f>Sheet1!$A$2:$A$22</c:f>
              <c:strCach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strCache>
            </c:strRef>
          </c:cat>
          <c:val>
            <c:numRef>
              <c:f>Sheet1!$C$2:$C$22</c:f>
              <c:numCache>
                <c:formatCode>#,##0.0</c:formatCode>
                <c:ptCount val="21"/>
                <c:pt idx="0">
                  <c:v>1750.6</c:v>
                </c:pt>
                <c:pt idx="1">
                  <c:v>2323.9</c:v>
                </c:pt>
                <c:pt idx="2">
                  <c:v>4376.3999999999996</c:v>
                </c:pt>
                <c:pt idx="3">
                  <c:v>4756.5</c:v>
                </c:pt>
                <c:pt idx="4">
                  <c:v>5253</c:v>
                </c:pt>
                <c:pt idx="5">
                  <c:v>5830.4</c:v>
                </c:pt>
                <c:pt idx="6">
                  <c:v>7837.9</c:v>
                </c:pt>
                <c:pt idx="7">
                  <c:v>7083.8</c:v>
                </c:pt>
                <c:pt idx="8">
                  <c:v>8443</c:v>
                </c:pt>
                <c:pt idx="9">
                  <c:v>8194</c:v>
                </c:pt>
                <c:pt idx="10">
                  <c:v>11260</c:v>
                </c:pt>
                <c:pt idx="11">
                  <c:v>9641.7000000000007</c:v>
                </c:pt>
                <c:pt idx="12">
                  <c:v>8129.9</c:v>
                </c:pt>
                <c:pt idx="13">
                  <c:v>10691.1</c:v>
                </c:pt>
                <c:pt idx="14">
                  <c:v>10557.7</c:v>
                </c:pt>
                <c:pt idx="15">
                  <c:v>10903.8</c:v>
                </c:pt>
                <c:pt idx="16">
                  <c:v>11529.2</c:v>
                </c:pt>
                <c:pt idx="17">
                  <c:v>10130.1</c:v>
                </c:pt>
                <c:pt idx="18">
                  <c:v>12115.3</c:v>
                </c:pt>
                <c:pt idx="19">
                  <c:v>13397.6</c:v>
                </c:pt>
                <c:pt idx="20">
                  <c:v>13174.2</c:v>
                </c:pt>
              </c:numCache>
            </c:numRef>
          </c:val>
          <c:smooth val="0"/>
          <c:extLst>
            <c:ext xmlns:c16="http://schemas.microsoft.com/office/drawing/2014/chart" uri="{C3380CC4-5D6E-409C-BE32-E72D297353CC}">
              <c16:uniqueId val="{00000002-4067-4427-B405-4B81408CED23}"/>
            </c:ext>
          </c:extLst>
        </c:ser>
        <c:ser>
          <c:idx val="2"/>
          <c:order val="2"/>
          <c:tx>
            <c:strRef>
              <c:f>Sheet1!$D$1</c:f>
              <c:strCache>
                <c:ptCount val="1"/>
                <c:pt idx="0">
                  <c:v>Skåne län</c:v>
                </c:pt>
              </c:strCache>
            </c:strRef>
          </c:tx>
          <c:spPr>
            <a:ln w="28575" cap="rnd">
              <a:solidFill>
                <a:schemeClr val="accent3"/>
              </a:solidFill>
              <a:round/>
            </a:ln>
            <a:effectLst/>
          </c:spPr>
          <c:marker>
            <c:symbol val="none"/>
          </c:marker>
          <c:cat>
            <c:strRef>
              <c:f>Sheet1!$A$2:$A$22</c:f>
              <c:strCach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strCache>
            </c:strRef>
          </c:cat>
          <c:val>
            <c:numRef>
              <c:f>Sheet1!$D$2:$D$22</c:f>
              <c:numCache>
                <c:formatCode>#,##0.0</c:formatCode>
                <c:ptCount val="21"/>
                <c:pt idx="0">
                  <c:v>6470.4</c:v>
                </c:pt>
                <c:pt idx="1">
                  <c:v>6525.7</c:v>
                </c:pt>
                <c:pt idx="2">
                  <c:v>6461.5</c:v>
                </c:pt>
                <c:pt idx="3">
                  <c:v>7598.6</c:v>
                </c:pt>
                <c:pt idx="4">
                  <c:v>7581</c:v>
                </c:pt>
                <c:pt idx="5">
                  <c:v>7681</c:v>
                </c:pt>
                <c:pt idx="6">
                  <c:v>7583.7</c:v>
                </c:pt>
                <c:pt idx="7">
                  <c:v>7219.5</c:v>
                </c:pt>
                <c:pt idx="8">
                  <c:v>9453.2999999999993</c:v>
                </c:pt>
                <c:pt idx="9">
                  <c:v>9198.7999999999993</c:v>
                </c:pt>
                <c:pt idx="10">
                  <c:v>11492.3</c:v>
                </c:pt>
                <c:pt idx="11">
                  <c:v>10517.4</c:v>
                </c:pt>
                <c:pt idx="12">
                  <c:v>8606.2000000000007</c:v>
                </c:pt>
                <c:pt idx="13">
                  <c:v>7863.9</c:v>
                </c:pt>
                <c:pt idx="14">
                  <c:v>8594.7000000000007</c:v>
                </c:pt>
                <c:pt idx="15">
                  <c:v>8832.7999999999993</c:v>
                </c:pt>
                <c:pt idx="16">
                  <c:v>8707.9</c:v>
                </c:pt>
                <c:pt idx="17">
                  <c:v>8155.2</c:v>
                </c:pt>
                <c:pt idx="18">
                  <c:v>8321.1</c:v>
                </c:pt>
                <c:pt idx="19">
                  <c:v>8651</c:v>
                </c:pt>
                <c:pt idx="20">
                  <c:v>8895.2000000000007</c:v>
                </c:pt>
              </c:numCache>
            </c:numRef>
          </c:val>
          <c:smooth val="0"/>
          <c:extLst>
            <c:ext xmlns:c16="http://schemas.microsoft.com/office/drawing/2014/chart" uri="{C3380CC4-5D6E-409C-BE32-E72D297353CC}">
              <c16:uniqueId val="{00000003-4067-4427-B405-4B81408CED23}"/>
            </c:ext>
          </c:extLst>
        </c:ser>
        <c:ser>
          <c:idx val="3"/>
          <c:order val="3"/>
          <c:tx>
            <c:strRef>
              <c:f>Sheet1!$E$1</c:f>
              <c:strCache>
                <c:ptCount val="1"/>
                <c:pt idx="0">
                  <c:v>Jönköpings län</c:v>
                </c:pt>
              </c:strCache>
            </c:strRef>
          </c:tx>
          <c:spPr>
            <a:ln w="28575" cap="rnd">
              <a:solidFill>
                <a:schemeClr val="accent4"/>
              </a:solidFill>
              <a:round/>
            </a:ln>
            <a:effectLst/>
          </c:spPr>
          <c:marker>
            <c:symbol val="none"/>
          </c:marker>
          <c:dLbls>
            <c:dLbl>
              <c:idx val="11"/>
              <c:layout>
                <c:manualLayout>
                  <c:x val="-2.6607538802660754E-2"/>
                  <c:y val="6.7731011127237548E-2"/>
                </c:manualLayout>
              </c:layout>
              <c:tx>
                <c:rich>
                  <a:bodyPr rot="-5400000" vert="horz" wrap="non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800" b="0" i="0" u="none" strike="noStrike" kern="1200" baseline="0">
                        <a:solidFill>
                          <a:sysClr val="windowText" lastClr="000000">
                            <a:lumMod val="75000"/>
                            <a:lumOff val="25000"/>
                          </a:sysClr>
                        </a:solidFill>
                      </a:rPr>
                      <a:t>Vårdval övriga---------------------------</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1-E121-417A-816C-1FF28F1E6C8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Sheet1!$A$2:$A$22</c:f>
              <c:strCach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strCache>
            </c:strRef>
          </c:cat>
          <c:val>
            <c:numRef>
              <c:f>Sheet1!$E$2:$E$22</c:f>
              <c:numCache>
                <c:formatCode>#,##0.0</c:formatCode>
                <c:ptCount val="21"/>
                <c:pt idx="0">
                  <c:v>5896.9</c:v>
                </c:pt>
                <c:pt idx="1">
                  <c:v>6023</c:v>
                </c:pt>
                <c:pt idx="2">
                  <c:v>7791.7</c:v>
                </c:pt>
                <c:pt idx="3">
                  <c:v>7502.1</c:v>
                </c:pt>
                <c:pt idx="4">
                  <c:v>7228.6</c:v>
                </c:pt>
                <c:pt idx="5">
                  <c:v>7847.6</c:v>
                </c:pt>
                <c:pt idx="6">
                  <c:v>7508.3</c:v>
                </c:pt>
                <c:pt idx="7">
                  <c:v>7706.9</c:v>
                </c:pt>
                <c:pt idx="8">
                  <c:v>7087.3</c:v>
                </c:pt>
                <c:pt idx="9">
                  <c:v>8651</c:v>
                </c:pt>
                <c:pt idx="10">
                  <c:v>9119.4</c:v>
                </c:pt>
                <c:pt idx="11">
                  <c:v>10083.799999999999</c:v>
                </c:pt>
                <c:pt idx="12">
                  <c:v>11824.1</c:v>
                </c:pt>
                <c:pt idx="13">
                  <c:v>11932.2</c:v>
                </c:pt>
                <c:pt idx="14">
                  <c:v>13253.4</c:v>
                </c:pt>
                <c:pt idx="15">
                  <c:v>12196.1</c:v>
                </c:pt>
                <c:pt idx="16">
                  <c:v>11954.9</c:v>
                </c:pt>
                <c:pt idx="17">
                  <c:v>11659.5</c:v>
                </c:pt>
                <c:pt idx="18">
                  <c:v>12638.5</c:v>
                </c:pt>
                <c:pt idx="19">
                  <c:v>12217.6</c:v>
                </c:pt>
                <c:pt idx="20">
                  <c:v>12061.9</c:v>
                </c:pt>
              </c:numCache>
            </c:numRef>
          </c:val>
          <c:smooth val="0"/>
          <c:extLst>
            <c:ext xmlns:c16="http://schemas.microsoft.com/office/drawing/2014/chart" uri="{C3380CC4-5D6E-409C-BE32-E72D297353CC}">
              <c16:uniqueId val="{00000004-4067-4427-B405-4B81408CED23}"/>
            </c:ext>
          </c:extLst>
        </c:ser>
        <c:ser>
          <c:idx val="4"/>
          <c:order val="4"/>
          <c:tx>
            <c:strRef>
              <c:f>Sheet1!$F$1</c:f>
              <c:strCache>
                <c:ptCount val="1"/>
                <c:pt idx="0">
                  <c:v>Östergötlands län</c:v>
                </c:pt>
              </c:strCache>
            </c:strRef>
          </c:tx>
          <c:spPr>
            <a:ln w="28575" cap="rnd">
              <a:solidFill>
                <a:schemeClr val="accent5"/>
              </a:solidFill>
              <a:round/>
            </a:ln>
            <a:effectLst/>
          </c:spPr>
          <c:marker>
            <c:symbol val="none"/>
          </c:marker>
          <c:dLbls>
            <c:dLbl>
              <c:idx val="18"/>
              <c:layout>
                <c:manualLayout>
                  <c:x val="-6.8736141906873618E-2"/>
                  <c:y val="0"/>
                </c:manualLayout>
              </c:layout>
              <c:tx>
                <c:rich>
                  <a:bodyPr rot="-5400000" vert="horz" wrap="none" lIns="38100" tIns="252000" rIns="38100" bIns="7200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800" b="0" i="0" u="none" strike="noStrike" kern="1200" baseline="0">
                        <a:solidFill>
                          <a:sysClr val="windowText" lastClr="000000">
                            <a:lumMod val="75000"/>
                            <a:lumOff val="25000"/>
                          </a:sysClr>
                        </a:solidFill>
                      </a:rPr>
                      <a:t>Vårdval Östergöt.--------------------------</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2-E121-417A-816C-1FF28F1E6C8D}"/>
                </c:ext>
              </c:extLst>
            </c:dLbl>
            <c:spPr>
              <a:noFill/>
              <a:ln>
                <a:noFill/>
              </a:ln>
              <a:effectLst/>
            </c:spPr>
            <c:txPr>
              <a:bodyPr rot="-5400000" vert="horz" wrap="none" lIns="38100" tIns="252000" rIns="38100" bIns="19050" anchor="ctr">
                <a:spAutoFit/>
              </a:bodyPr>
              <a:lstStyle/>
              <a:p>
                <a:pPr>
                  <a:defRPr/>
                </a:pPr>
                <a:endParaRPr lang="sv-SE"/>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strCache>
            </c:strRef>
          </c:cat>
          <c:val>
            <c:numRef>
              <c:f>Sheet1!$F$2:$F$22</c:f>
              <c:numCache>
                <c:formatCode>#,##0.0</c:formatCode>
                <c:ptCount val="21"/>
                <c:pt idx="0">
                  <c:v>6783.9</c:v>
                </c:pt>
                <c:pt idx="1">
                  <c:v>6537.8</c:v>
                </c:pt>
                <c:pt idx="2">
                  <c:v>6721.7</c:v>
                </c:pt>
                <c:pt idx="3">
                  <c:v>7588.8</c:v>
                </c:pt>
                <c:pt idx="4">
                  <c:v>8168.9</c:v>
                </c:pt>
                <c:pt idx="5">
                  <c:v>8000.1</c:v>
                </c:pt>
                <c:pt idx="6">
                  <c:v>7930.8</c:v>
                </c:pt>
                <c:pt idx="7">
                  <c:v>8358.5</c:v>
                </c:pt>
                <c:pt idx="8">
                  <c:v>8553.2999999999993</c:v>
                </c:pt>
                <c:pt idx="9">
                  <c:v>8506.4</c:v>
                </c:pt>
                <c:pt idx="10">
                  <c:v>7992.8</c:v>
                </c:pt>
                <c:pt idx="11">
                  <c:v>9392.6</c:v>
                </c:pt>
                <c:pt idx="12">
                  <c:v>8942.9</c:v>
                </c:pt>
                <c:pt idx="13">
                  <c:v>7986.7</c:v>
                </c:pt>
                <c:pt idx="14">
                  <c:v>7172.9</c:v>
                </c:pt>
                <c:pt idx="15">
                  <c:v>8585.2000000000007</c:v>
                </c:pt>
                <c:pt idx="16">
                  <c:v>8454.6</c:v>
                </c:pt>
                <c:pt idx="17">
                  <c:v>6939.7</c:v>
                </c:pt>
                <c:pt idx="18">
                  <c:v>7289.6</c:v>
                </c:pt>
                <c:pt idx="19">
                  <c:v>7857.7</c:v>
                </c:pt>
                <c:pt idx="20">
                  <c:v>10892.9</c:v>
                </c:pt>
              </c:numCache>
            </c:numRef>
          </c:val>
          <c:smooth val="0"/>
          <c:extLst>
            <c:ext xmlns:c16="http://schemas.microsoft.com/office/drawing/2014/chart" uri="{C3380CC4-5D6E-409C-BE32-E72D297353CC}">
              <c16:uniqueId val="{00000003-8338-43E3-81B6-8C1B688DDEB1}"/>
            </c:ext>
          </c:extLst>
        </c:ser>
        <c:dLbls>
          <c:showLegendKey val="0"/>
          <c:showVal val="0"/>
          <c:showCatName val="0"/>
          <c:showSerName val="0"/>
          <c:showPercent val="0"/>
          <c:showBubbleSize val="0"/>
        </c:dLbls>
        <c:smooth val="0"/>
        <c:axId val="343874128"/>
        <c:axId val="234741840"/>
      </c:lineChart>
      <c:catAx>
        <c:axId val="34387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6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34741840"/>
        <c:crosses val="autoZero"/>
        <c:auto val="1"/>
        <c:lblAlgn val="ctr"/>
        <c:lblOffset val="100"/>
        <c:noMultiLvlLbl val="0"/>
      </c:catAx>
      <c:valAx>
        <c:axId val="234741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4387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Figur 5. Andel första besök som genomförts inom 90 dagar</a:t>
            </a:r>
          </a:p>
          <a:p>
            <a:pPr>
              <a:defRPr/>
            </a:pPr>
            <a:r>
              <a:rPr lang="en-GB" sz="1200" b="0" baseline="0"/>
              <a:t>Ögonsjukvård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8.513347416938738E-2"/>
          <c:y val="0.15523302693114013"/>
          <c:w val="0.88382439722750838"/>
          <c:h val="0.66312926413951523"/>
        </c:manualLayout>
      </c:layout>
      <c:lineChart>
        <c:grouping val="standard"/>
        <c:varyColors val="0"/>
        <c:ser>
          <c:idx val="0"/>
          <c:order val="0"/>
          <c:tx>
            <c:strRef>
              <c:f>Sheet1!$B$1</c:f>
              <c:strCache>
                <c:ptCount val="1"/>
                <c:pt idx="0">
                  <c:v>Stockholms län</c:v>
                </c:pt>
              </c:strCache>
            </c:strRef>
          </c:tx>
          <c:spPr>
            <a:ln w="28575" cap="rnd">
              <a:solidFill>
                <a:schemeClr val="accent1"/>
              </a:solidFill>
              <a:round/>
            </a:ln>
            <a:effectLst/>
          </c:spPr>
          <c:marker>
            <c:symbol val="none"/>
          </c:marker>
          <c:cat>
            <c:strRef>
              <c:f>Sheet1!$A$2:$A$14</c:f>
              <c:strCache>
                <c:ptCount val="13"/>
                <c:pt idx="0">
                  <c:v>2011 Q2+Q3</c:v>
                </c:pt>
                <c:pt idx="1">
                  <c:v>2012</c:v>
                </c:pt>
                <c:pt idx="2">
                  <c:v>2013</c:v>
                </c:pt>
                <c:pt idx="3">
                  <c:v>2014</c:v>
                </c:pt>
                <c:pt idx="4">
                  <c:v>2015</c:v>
                </c:pt>
                <c:pt idx="5">
                  <c:v>2016</c:v>
                </c:pt>
                <c:pt idx="6">
                  <c:v>2017</c:v>
                </c:pt>
                <c:pt idx="7">
                  <c:v>2018</c:v>
                </c:pt>
                <c:pt idx="8">
                  <c:v>2019</c:v>
                </c:pt>
                <c:pt idx="9">
                  <c:v>2020</c:v>
                </c:pt>
                <c:pt idx="10">
                  <c:v>2021</c:v>
                </c:pt>
                <c:pt idx="11">
                  <c:v>2022</c:v>
                </c:pt>
                <c:pt idx="12">
                  <c:v>2023</c:v>
                </c:pt>
              </c:strCache>
            </c:strRef>
          </c:cat>
          <c:val>
            <c:numRef>
              <c:f>Sheet1!$B$2:$B$14</c:f>
              <c:numCache>
                <c:formatCode>General</c:formatCode>
                <c:ptCount val="13"/>
                <c:pt idx="0">
                  <c:v>0.91101016000000001</c:v>
                </c:pt>
                <c:pt idx="1">
                  <c:v>0.94808404999999996</c:v>
                </c:pt>
                <c:pt idx="2">
                  <c:v>0.95824056000000002</c:v>
                </c:pt>
                <c:pt idx="3">
                  <c:v>0.88897276000000003</c:v>
                </c:pt>
                <c:pt idx="4">
                  <c:v>0.95778085000000002</c:v>
                </c:pt>
                <c:pt idx="5">
                  <c:v>0.93464563999999994</c:v>
                </c:pt>
                <c:pt idx="6">
                  <c:v>0.97787997000000004</c:v>
                </c:pt>
                <c:pt idx="7">
                  <c:v>0.96658316999999994</c:v>
                </c:pt>
                <c:pt idx="8">
                  <c:v>0.94985646000000001</c:v>
                </c:pt>
                <c:pt idx="9">
                  <c:v>0.95143462000000001</c:v>
                </c:pt>
                <c:pt idx="10">
                  <c:v>0.97633405999999989</c:v>
                </c:pt>
                <c:pt idx="11">
                  <c:v>0.96767459</c:v>
                </c:pt>
                <c:pt idx="12">
                  <c:v>0.96993651000000003</c:v>
                </c:pt>
              </c:numCache>
            </c:numRef>
          </c:val>
          <c:smooth val="0"/>
          <c:extLst>
            <c:ext xmlns:c16="http://schemas.microsoft.com/office/drawing/2014/chart" uri="{C3380CC4-5D6E-409C-BE32-E72D297353CC}">
              <c16:uniqueId val="{00000002-DD74-44BC-9DBC-EDE1FDCF1D41}"/>
            </c:ext>
          </c:extLst>
        </c:ser>
        <c:ser>
          <c:idx val="1"/>
          <c:order val="1"/>
          <c:tx>
            <c:strRef>
              <c:f>Sheet1!$C$1</c:f>
              <c:strCache>
                <c:ptCount val="1"/>
                <c:pt idx="0">
                  <c:v>Övriga län (oviktat snitt)</c:v>
                </c:pt>
              </c:strCache>
            </c:strRef>
          </c:tx>
          <c:spPr>
            <a:ln w="28575" cap="rnd">
              <a:solidFill>
                <a:schemeClr val="accent2"/>
              </a:solidFill>
              <a:round/>
            </a:ln>
            <a:effectLst/>
          </c:spPr>
          <c:marker>
            <c:symbol val="none"/>
          </c:marker>
          <c:cat>
            <c:strRef>
              <c:f>Sheet1!$A$2:$A$14</c:f>
              <c:strCache>
                <c:ptCount val="13"/>
                <c:pt idx="0">
                  <c:v>2011 Q2+Q3</c:v>
                </c:pt>
                <c:pt idx="1">
                  <c:v>2012</c:v>
                </c:pt>
                <c:pt idx="2">
                  <c:v>2013</c:v>
                </c:pt>
                <c:pt idx="3">
                  <c:v>2014</c:v>
                </c:pt>
                <c:pt idx="4">
                  <c:v>2015</c:v>
                </c:pt>
                <c:pt idx="5">
                  <c:v>2016</c:v>
                </c:pt>
                <c:pt idx="6">
                  <c:v>2017</c:v>
                </c:pt>
                <c:pt idx="7">
                  <c:v>2018</c:v>
                </c:pt>
                <c:pt idx="8">
                  <c:v>2019</c:v>
                </c:pt>
                <c:pt idx="9">
                  <c:v>2020</c:v>
                </c:pt>
                <c:pt idx="10">
                  <c:v>2021</c:v>
                </c:pt>
                <c:pt idx="11">
                  <c:v>2022</c:v>
                </c:pt>
                <c:pt idx="12">
                  <c:v>2023</c:v>
                </c:pt>
              </c:strCache>
            </c:strRef>
          </c:cat>
          <c:val>
            <c:numRef>
              <c:f>Sheet1!$C$2:$C$14</c:f>
              <c:numCache>
                <c:formatCode>General</c:formatCode>
                <c:ptCount val="13"/>
                <c:pt idx="0">
                  <c:v>0.82773366666666659</c:v>
                </c:pt>
                <c:pt idx="1">
                  <c:v>0.82995400000000008</c:v>
                </c:pt>
                <c:pt idx="2">
                  <c:v>0.84032780000000007</c:v>
                </c:pt>
                <c:pt idx="3">
                  <c:v>0.82150970000000001</c:v>
                </c:pt>
                <c:pt idx="4">
                  <c:v>0.77120699999999998</c:v>
                </c:pt>
                <c:pt idx="5">
                  <c:v>0.74747290000000011</c:v>
                </c:pt>
                <c:pt idx="6">
                  <c:v>0.72898600000000002</c:v>
                </c:pt>
                <c:pt idx="7">
                  <c:v>0.72326699999999999</c:v>
                </c:pt>
                <c:pt idx="8">
                  <c:v>0.74345139999999998</c:v>
                </c:pt>
                <c:pt idx="9">
                  <c:v>0.78192119999999998</c:v>
                </c:pt>
                <c:pt idx="10">
                  <c:v>0.74573089999999997</c:v>
                </c:pt>
                <c:pt idx="11">
                  <c:v>0.69192830000000005</c:v>
                </c:pt>
                <c:pt idx="12">
                  <c:v>0.70888810000000002</c:v>
                </c:pt>
              </c:numCache>
            </c:numRef>
          </c:val>
          <c:smooth val="0"/>
          <c:extLst>
            <c:ext xmlns:c16="http://schemas.microsoft.com/office/drawing/2014/chart" uri="{C3380CC4-5D6E-409C-BE32-E72D297353CC}">
              <c16:uniqueId val="{00000003-DD74-44BC-9DBC-EDE1FDCF1D41}"/>
            </c:ext>
          </c:extLst>
        </c:ser>
        <c:dLbls>
          <c:showLegendKey val="0"/>
          <c:showVal val="0"/>
          <c:showCatName val="0"/>
          <c:showSerName val="0"/>
          <c:showPercent val="0"/>
          <c:showBubbleSize val="0"/>
        </c:dLbls>
        <c:smooth val="0"/>
        <c:axId val="343874128"/>
        <c:axId val="234741840"/>
      </c:lineChart>
      <c:catAx>
        <c:axId val="34387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6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34741840"/>
        <c:crosses val="autoZero"/>
        <c:auto val="1"/>
        <c:lblAlgn val="ctr"/>
        <c:lblOffset val="100"/>
        <c:noMultiLvlLbl val="0"/>
      </c:catAx>
      <c:valAx>
        <c:axId val="234741840"/>
        <c:scaling>
          <c:orientation val="minMax"/>
          <c:max val="1"/>
          <c:min val="0.65000000000000013"/>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4387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t>Figur 6. Medelväntetid i dagar</a:t>
            </a:r>
            <a:r>
              <a:rPr lang="en-GB" sz="1200" b="1" baseline="0"/>
              <a:t> till första kontakt</a:t>
            </a:r>
            <a:endParaRPr lang="en-GB" sz="1200" b="1"/>
          </a:p>
          <a:p>
            <a:pPr>
              <a:defRPr/>
            </a:pPr>
            <a:r>
              <a:rPr lang="en-GB" sz="1200" b="0" baseline="0"/>
              <a:t>Ögonsjukvård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8.513347416938738E-2"/>
          <c:y val="0.15523302693114013"/>
          <c:w val="0.88382439722750838"/>
          <c:h val="0.640552260430436"/>
        </c:manualLayout>
      </c:layout>
      <c:lineChart>
        <c:grouping val="standard"/>
        <c:varyColors val="0"/>
        <c:ser>
          <c:idx val="0"/>
          <c:order val="0"/>
          <c:tx>
            <c:strRef>
              <c:f>Sheet1!$B$1</c:f>
              <c:strCache>
                <c:ptCount val="1"/>
                <c:pt idx="0">
                  <c:v>Region Stockholm</c:v>
                </c:pt>
              </c:strCache>
            </c:strRef>
          </c:tx>
          <c:spPr>
            <a:ln w="28575" cap="rnd">
              <a:solidFill>
                <a:schemeClr val="accent1"/>
              </a:solidFill>
              <a:round/>
            </a:ln>
            <a:effectLst/>
          </c:spPr>
          <c:marker>
            <c:symbol val="none"/>
          </c:marker>
          <c:cat>
            <c:strRef>
              <c:f>Sheet1!$A$2:$A$37</c:f>
              <c:strCache>
                <c:ptCount val="36"/>
                <c:pt idx="0">
                  <c:v>Jan 2021</c:v>
                </c:pt>
                <c:pt idx="1">
                  <c:v>Feb 2021</c:v>
                </c:pt>
                <c:pt idx="2">
                  <c:v>Mar 2021</c:v>
                </c:pt>
                <c:pt idx="3">
                  <c:v>Apr 2021</c:v>
                </c:pt>
                <c:pt idx="4">
                  <c:v>Maj 2021</c:v>
                </c:pt>
                <c:pt idx="5">
                  <c:v>Jun 2021</c:v>
                </c:pt>
                <c:pt idx="6">
                  <c:v>Jul 2021</c:v>
                </c:pt>
                <c:pt idx="7">
                  <c:v>Aug 2021</c:v>
                </c:pt>
                <c:pt idx="8">
                  <c:v>Sep 2021</c:v>
                </c:pt>
                <c:pt idx="9">
                  <c:v>Okt 2021</c:v>
                </c:pt>
                <c:pt idx="10">
                  <c:v>Nov 2021</c:v>
                </c:pt>
                <c:pt idx="11">
                  <c:v>Dec 2021</c:v>
                </c:pt>
                <c:pt idx="12">
                  <c:v>Jan 2022</c:v>
                </c:pt>
                <c:pt idx="13">
                  <c:v>Feb 2022</c:v>
                </c:pt>
                <c:pt idx="14">
                  <c:v>Mar 2022</c:v>
                </c:pt>
                <c:pt idx="15">
                  <c:v>Apr 2022</c:v>
                </c:pt>
                <c:pt idx="16">
                  <c:v>Maj 2022</c:v>
                </c:pt>
                <c:pt idx="17">
                  <c:v>Jun 2022</c:v>
                </c:pt>
                <c:pt idx="18">
                  <c:v>Jul 2022</c:v>
                </c:pt>
                <c:pt idx="19">
                  <c:v>Aug 2022</c:v>
                </c:pt>
                <c:pt idx="20">
                  <c:v>Sep 2022</c:v>
                </c:pt>
                <c:pt idx="21">
                  <c:v>Okt 2022</c:v>
                </c:pt>
                <c:pt idx="22">
                  <c:v>Nov 2022</c:v>
                </c:pt>
                <c:pt idx="23">
                  <c:v>Dec 2022</c:v>
                </c:pt>
                <c:pt idx="24">
                  <c:v>Jan 2023</c:v>
                </c:pt>
                <c:pt idx="25">
                  <c:v>Feb 2023</c:v>
                </c:pt>
                <c:pt idx="26">
                  <c:v>Mar 2023</c:v>
                </c:pt>
                <c:pt idx="27">
                  <c:v>Apr 2023</c:v>
                </c:pt>
                <c:pt idx="28">
                  <c:v>Maj 2023</c:v>
                </c:pt>
                <c:pt idx="29">
                  <c:v>Jun 2023</c:v>
                </c:pt>
                <c:pt idx="30">
                  <c:v>Jul 2023</c:v>
                </c:pt>
                <c:pt idx="31">
                  <c:v>Aug 2023</c:v>
                </c:pt>
                <c:pt idx="32">
                  <c:v>Sep 2023</c:v>
                </c:pt>
                <c:pt idx="33">
                  <c:v>Okt 2023</c:v>
                </c:pt>
                <c:pt idx="34">
                  <c:v>Nov 2023</c:v>
                </c:pt>
                <c:pt idx="35">
                  <c:v>Dec 2023</c:v>
                </c:pt>
              </c:strCache>
            </c:strRef>
          </c:cat>
          <c:val>
            <c:numRef>
              <c:f>Sheet1!$B$2:$B$37</c:f>
              <c:numCache>
                <c:formatCode>General</c:formatCode>
                <c:ptCount val="36"/>
                <c:pt idx="0">
                  <c:v>22</c:v>
                </c:pt>
                <c:pt idx="1">
                  <c:v>20</c:v>
                </c:pt>
                <c:pt idx="2">
                  <c:v>19</c:v>
                </c:pt>
                <c:pt idx="3">
                  <c:v>22</c:v>
                </c:pt>
                <c:pt idx="4">
                  <c:v>23</c:v>
                </c:pt>
                <c:pt idx="5">
                  <c:v>24</c:v>
                </c:pt>
                <c:pt idx="6">
                  <c:v>18</c:v>
                </c:pt>
                <c:pt idx="7">
                  <c:v>26</c:v>
                </c:pt>
                <c:pt idx="8">
                  <c:v>26</c:v>
                </c:pt>
                <c:pt idx="9">
                  <c:v>26</c:v>
                </c:pt>
                <c:pt idx="10">
                  <c:v>27</c:v>
                </c:pt>
                <c:pt idx="11">
                  <c:v>27</c:v>
                </c:pt>
                <c:pt idx="12">
                  <c:v>30</c:v>
                </c:pt>
                <c:pt idx="13">
                  <c:v>28</c:v>
                </c:pt>
                <c:pt idx="14">
                  <c:v>27</c:v>
                </c:pt>
                <c:pt idx="15">
                  <c:v>27</c:v>
                </c:pt>
                <c:pt idx="16">
                  <c:v>29</c:v>
                </c:pt>
                <c:pt idx="17">
                  <c:v>29</c:v>
                </c:pt>
                <c:pt idx="18">
                  <c:v>21</c:v>
                </c:pt>
                <c:pt idx="19">
                  <c:v>33</c:v>
                </c:pt>
                <c:pt idx="20">
                  <c:v>30</c:v>
                </c:pt>
                <c:pt idx="21">
                  <c:v>27</c:v>
                </c:pt>
                <c:pt idx="22">
                  <c:v>26</c:v>
                </c:pt>
                <c:pt idx="23">
                  <c:v>25</c:v>
                </c:pt>
                <c:pt idx="24">
                  <c:v>27</c:v>
                </c:pt>
                <c:pt idx="25">
                  <c:v>24</c:v>
                </c:pt>
                <c:pt idx="26">
                  <c:v>24</c:v>
                </c:pt>
                <c:pt idx="27">
                  <c:v>25</c:v>
                </c:pt>
                <c:pt idx="28">
                  <c:v>27</c:v>
                </c:pt>
                <c:pt idx="29">
                  <c:v>24</c:v>
                </c:pt>
                <c:pt idx="30">
                  <c:v>21</c:v>
                </c:pt>
                <c:pt idx="31">
                  <c:v>28</c:v>
                </c:pt>
                <c:pt idx="32">
                  <c:v>27</c:v>
                </c:pt>
                <c:pt idx="33">
                  <c:v>25</c:v>
                </c:pt>
                <c:pt idx="34">
                  <c:v>25</c:v>
                </c:pt>
                <c:pt idx="35">
                  <c:v>25</c:v>
                </c:pt>
              </c:numCache>
            </c:numRef>
          </c:val>
          <c:smooth val="0"/>
          <c:extLst>
            <c:ext xmlns:c16="http://schemas.microsoft.com/office/drawing/2014/chart" uri="{C3380CC4-5D6E-409C-BE32-E72D297353CC}">
              <c16:uniqueId val="{00000000-CBF9-4003-86D0-0CD64F1674A5}"/>
            </c:ext>
          </c:extLst>
        </c:ser>
        <c:ser>
          <c:idx val="1"/>
          <c:order val="1"/>
          <c:tx>
            <c:strRef>
              <c:f>Sheet1!$C$1</c:f>
              <c:strCache>
                <c:ptCount val="1"/>
                <c:pt idx="0">
                  <c:v>Övriga regioner (oviktat snitt)</c:v>
                </c:pt>
              </c:strCache>
            </c:strRef>
          </c:tx>
          <c:spPr>
            <a:ln w="28575" cap="rnd">
              <a:solidFill>
                <a:schemeClr val="accent2"/>
              </a:solidFill>
              <a:round/>
            </a:ln>
            <a:effectLst/>
          </c:spPr>
          <c:marker>
            <c:symbol val="none"/>
          </c:marker>
          <c:cat>
            <c:strRef>
              <c:f>Sheet1!$A$2:$A$37</c:f>
              <c:strCache>
                <c:ptCount val="36"/>
                <c:pt idx="0">
                  <c:v>Jan 2021</c:v>
                </c:pt>
                <c:pt idx="1">
                  <c:v>Feb 2021</c:v>
                </c:pt>
                <c:pt idx="2">
                  <c:v>Mar 2021</c:v>
                </c:pt>
                <c:pt idx="3">
                  <c:v>Apr 2021</c:v>
                </c:pt>
                <c:pt idx="4">
                  <c:v>Maj 2021</c:v>
                </c:pt>
                <c:pt idx="5">
                  <c:v>Jun 2021</c:v>
                </c:pt>
                <c:pt idx="6">
                  <c:v>Jul 2021</c:v>
                </c:pt>
                <c:pt idx="7">
                  <c:v>Aug 2021</c:v>
                </c:pt>
                <c:pt idx="8">
                  <c:v>Sep 2021</c:v>
                </c:pt>
                <c:pt idx="9">
                  <c:v>Okt 2021</c:v>
                </c:pt>
                <c:pt idx="10">
                  <c:v>Nov 2021</c:v>
                </c:pt>
                <c:pt idx="11">
                  <c:v>Dec 2021</c:v>
                </c:pt>
                <c:pt idx="12">
                  <c:v>Jan 2022</c:v>
                </c:pt>
                <c:pt idx="13">
                  <c:v>Feb 2022</c:v>
                </c:pt>
                <c:pt idx="14">
                  <c:v>Mar 2022</c:v>
                </c:pt>
                <c:pt idx="15">
                  <c:v>Apr 2022</c:v>
                </c:pt>
                <c:pt idx="16">
                  <c:v>Maj 2022</c:v>
                </c:pt>
                <c:pt idx="17">
                  <c:v>Jun 2022</c:v>
                </c:pt>
                <c:pt idx="18">
                  <c:v>Jul 2022</c:v>
                </c:pt>
                <c:pt idx="19">
                  <c:v>Aug 2022</c:v>
                </c:pt>
                <c:pt idx="20">
                  <c:v>Sep 2022</c:v>
                </c:pt>
                <c:pt idx="21">
                  <c:v>Okt 2022</c:v>
                </c:pt>
                <c:pt idx="22">
                  <c:v>Nov 2022</c:v>
                </c:pt>
                <c:pt idx="23">
                  <c:v>Dec 2022</c:v>
                </c:pt>
                <c:pt idx="24">
                  <c:v>Jan 2023</c:v>
                </c:pt>
                <c:pt idx="25">
                  <c:v>Feb 2023</c:v>
                </c:pt>
                <c:pt idx="26">
                  <c:v>Mar 2023</c:v>
                </c:pt>
                <c:pt idx="27">
                  <c:v>Apr 2023</c:v>
                </c:pt>
                <c:pt idx="28">
                  <c:v>Maj 2023</c:v>
                </c:pt>
                <c:pt idx="29">
                  <c:v>Jun 2023</c:v>
                </c:pt>
                <c:pt idx="30">
                  <c:v>Jul 2023</c:v>
                </c:pt>
                <c:pt idx="31">
                  <c:v>Aug 2023</c:v>
                </c:pt>
                <c:pt idx="32">
                  <c:v>Sep 2023</c:v>
                </c:pt>
                <c:pt idx="33">
                  <c:v>Okt 2023</c:v>
                </c:pt>
                <c:pt idx="34">
                  <c:v>Nov 2023</c:v>
                </c:pt>
                <c:pt idx="35">
                  <c:v>Dec 2023</c:v>
                </c:pt>
              </c:strCache>
            </c:strRef>
          </c:cat>
          <c:val>
            <c:numRef>
              <c:f>Sheet1!$C$2:$C$37</c:f>
              <c:numCache>
                <c:formatCode>General</c:formatCode>
                <c:ptCount val="36"/>
                <c:pt idx="0">
                  <c:v>77.55</c:v>
                </c:pt>
                <c:pt idx="1">
                  <c:v>86.3</c:v>
                </c:pt>
                <c:pt idx="2">
                  <c:v>85.6</c:v>
                </c:pt>
                <c:pt idx="3">
                  <c:v>77.599999999999994</c:v>
                </c:pt>
                <c:pt idx="4">
                  <c:v>80.8</c:v>
                </c:pt>
                <c:pt idx="5">
                  <c:v>75.2</c:v>
                </c:pt>
                <c:pt idx="6">
                  <c:v>58.95</c:v>
                </c:pt>
                <c:pt idx="7">
                  <c:v>85.05</c:v>
                </c:pt>
                <c:pt idx="8">
                  <c:v>96</c:v>
                </c:pt>
                <c:pt idx="9">
                  <c:v>94.45</c:v>
                </c:pt>
                <c:pt idx="10">
                  <c:v>89.45</c:v>
                </c:pt>
                <c:pt idx="11">
                  <c:v>77.150000000000006</c:v>
                </c:pt>
                <c:pt idx="12">
                  <c:v>83</c:v>
                </c:pt>
                <c:pt idx="13">
                  <c:v>87.8</c:v>
                </c:pt>
                <c:pt idx="14">
                  <c:v>86.25</c:v>
                </c:pt>
                <c:pt idx="15">
                  <c:v>82.25</c:v>
                </c:pt>
                <c:pt idx="16">
                  <c:v>81.2</c:v>
                </c:pt>
                <c:pt idx="17">
                  <c:v>75.900000000000006</c:v>
                </c:pt>
                <c:pt idx="18">
                  <c:v>65.099999999999994</c:v>
                </c:pt>
                <c:pt idx="19">
                  <c:v>93.05</c:v>
                </c:pt>
                <c:pt idx="20">
                  <c:v>101.95</c:v>
                </c:pt>
                <c:pt idx="21">
                  <c:v>101.5</c:v>
                </c:pt>
                <c:pt idx="22">
                  <c:v>97.65</c:v>
                </c:pt>
                <c:pt idx="23">
                  <c:v>94.05</c:v>
                </c:pt>
                <c:pt idx="24">
                  <c:v>96.35</c:v>
                </c:pt>
                <c:pt idx="25">
                  <c:v>95.6</c:v>
                </c:pt>
                <c:pt idx="26">
                  <c:v>90.05</c:v>
                </c:pt>
                <c:pt idx="27">
                  <c:v>87.8</c:v>
                </c:pt>
                <c:pt idx="28">
                  <c:v>82.1</c:v>
                </c:pt>
                <c:pt idx="29">
                  <c:v>79.900000000000006</c:v>
                </c:pt>
                <c:pt idx="30">
                  <c:v>70.150000000000006</c:v>
                </c:pt>
                <c:pt idx="31">
                  <c:v>95.1</c:v>
                </c:pt>
                <c:pt idx="32">
                  <c:v>99.4</c:v>
                </c:pt>
                <c:pt idx="33">
                  <c:v>95.15</c:v>
                </c:pt>
                <c:pt idx="34">
                  <c:v>85.4</c:v>
                </c:pt>
                <c:pt idx="35">
                  <c:v>77.400000000000006</c:v>
                </c:pt>
              </c:numCache>
            </c:numRef>
          </c:val>
          <c:smooth val="0"/>
          <c:extLst>
            <c:ext xmlns:c16="http://schemas.microsoft.com/office/drawing/2014/chart" uri="{C3380CC4-5D6E-409C-BE32-E72D297353CC}">
              <c16:uniqueId val="{00000001-CBF9-4003-86D0-0CD64F1674A5}"/>
            </c:ext>
          </c:extLst>
        </c:ser>
        <c:dLbls>
          <c:showLegendKey val="0"/>
          <c:showVal val="0"/>
          <c:showCatName val="0"/>
          <c:showSerName val="0"/>
          <c:showPercent val="0"/>
          <c:showBubbleSize val="0"/>
        </c:dLbls>
        <c:smooth val="0"/>
        <c:axId val="343874128"/>
        <c:axId val="234741840"/>
      </c:lineChart>
      <c:catAx>
        <c:axId val="34387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v-SE"/>
          </a:p>
        </c:txPr>
        <c:crossAx val="234741840"/>
        <c:crosses val="autoZero"/>
        <c:auto val="1"/>
        <c:lblAlgn val="ctr"/>
        <c:lblOffset val="100"/>
        <c:noMultiLvlLbl val="0"/>
      </c:catAx>
      <c:valAx>
        <c:axId val="234741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43874128"/>
        <c:crosses val="autoZero"/>
        <c:crossBetween val="between"/>
      </c:valAx>
      <c:spPr>
        <a:noFill/>
        <a:ln>
          <a:noFill/>
        </a:ln>
        <a:effectLst/>
      </c:spPr>
    </c:plotArea>
    <c:legend>
      <c:legendPos val="b"/>
      <c:layout>
        <c:manualLayout>
          <c:xMode val="edge"/>
          <c:yMode val="edge"/>
          <c:x val="0.2194135516874138"/>
          <c:y val="0.94051149992317706"/>
          <c:w val="0.65208181294411383"/>
          <c:h val="5.303792758851442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83F85171476E44870AED830AD40327" ma:contentTypeVersion="15" ma:contentTypeDescription="Create a new document." ma:contentTypeScope="" ma:versionID="7082ef668c3c6c68554101f263f2d4f1">
  <xsd:schema xmlns:xsd="http://www.w3.org/2001/XMLSchema" xmlns:xs="http://www.w3.org/2001/XMLSchema" xmlns:p="http://schemas.microsoft.com/office/2006/metadata/properties" xmlns:ns2="86e7fa43-c359-43d9-8458-737144af5f10" xmlns:ns3="42728837-3024-4282-83e6-d6654297899d" targetNamespace="http://schemas.microsoft.com/office/2006/metadata/properties" ma:root="true" ma:fieldsID="6c788fd590ceacc57ee1b90d3241a728" ns2:_="" ns3:_="">
    <xsd:import namespace="86e7fa43-c359-43d9-8458-737144af5f10"/>
    <xsd:import namespace="42728837-3024-4282-83e6-d665429789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7fa43-c359-43d9-8458-737144af5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6b38b31-0b42-47f8-9dad-1d744a0c8416}" ma:internalName="TaxCatchAll" ma:showField="CatchAllData" ma:web="86e7fa43-c359-43d9-8458-737144af5f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728837-3024-4282-83e6-d665429789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46dfa3c-b651-4bbc-9963-d4a08547116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SA.XSL" StyleName="ASA*">
  <b:Source>
    <b:Tag>Sko6a</b:Tag>
    <b:SourceType>Report</b:SourceType>
    <b:Guid>{FE3651F3-DC64-5649-BCE2-B35AEC0B2011}</b:Guid>
    <b:Author>
      <b:Author>
        <b:Corporate>Skolverket</b:Corporate>
      </b:Author>
    </b:Author>
    <b:Title>PISA 2015 - 15-åringars kunskaper i naturvetenskap, läsförståelse och matematik</b:Title>
    <b:Institution>Skolverket</b:Institution>
    <b:City>Stockholm</b:City>
    <b:ThesisType>Rapport 450</b:ThesisType>
    <b:Year>2016a</b:Year>
    <b:RefOrder>1</b:RefOrder>
  </b:Source>
  <b:Source>
    <b:Tag>Hel164</b:Tag>
    <b:SourceType>ArticleInAPeriodical</b:SourceType>
    <b:Guid>{B7B2F307-A6FD-7649-8077-14FE3502B56A}</b:Guid>
    <b:Author>
      <b:Author>
        <b:NameList>
          <b:Person>
            <b:Last>Heller Sahlgren</b:Last>
            <b:First>Gabriel</b:First>
          </b:Person>
        </b:NameList>
      </b:Author>
    </b:Author>
    <b:Title>Förändringarna i Pisa är opålitliga</b:Title>
    <b:Year>2016a</b:Year>
    <b:Comments>http://www.dagenssamhalle.se/kronika/foeraendringarna-i-pisa-aer-opalitliga-29969</b:Comments>
    <b:PeriodicalTitle>Dagens Samhälle</b:PeriodicalTitle>
    <b:Month>December</b:Month>
    <b:Day>6</b:Day>
    <b:RefOrder>2</b:RefOrder>
  </b:Source>
  <b:Source>
    <b:Tag>Eng16</b:Tag>
    <b:SourceType>Report</b:SourceType>
    <b:Guid>{C964B4C7-C867-D64F-A9A7-F41A9297A2F6}</b:Guid>
    <b:Author>
      <b:Author>
        <b:NameList>
          <b:Person>
            <b:Last>Engzell</b:Last>
            <b:First>Per</b:First>
          </b:Person>
        </b:NameList>
      </b:Author>
    </b:Author>
    <b:Title>What Do Books in the Home Proxy For? A Cautionary Tale</b:Title>
    <b:Institution>Stockholm University</b:Institution>
    <b:Department>Swedish Institute for Social Research (SOFI)</b:Department>
    <b:ThesisType>Working Paper 1/2016</b:ThesisType>
    <b:Year>2016</b:Year>
    <b:RefOrder>3</b:RefOrder>
  </b:Source>
  <b:Source>
    <b:Tag>Dea11</b:Tag>
    <b:SourceType>JournalArticle</b:SourceType>
    <b:Guid>{06C5FF85-3E38-F64C-B923-2DC18CC002D7}</b:Guid>
    <b:Title>The Effectiveness of English Secondary Schools for Pupils of Different Ability Levels</b:Title>
    <b:Year>2011</b:Year>
    <b:Pages>225-244</b:Pages>
    <b:Author>
      <b:Author>
        <b:NameList>
          <b:Person>
            <b:Last>Dearden</b:Last>
            <b:First>Lorraine</b:First>
          </b:Person>
          <b:Person>
            <b:Last>Micklewright</b:Last>
            <b:First>John</b:First>
          </b:Person>
          <b:Person>
            <b:Last>Vignoles</b:Last>
            <b:First>Anna</b:First>
          </b:Person>
        </b:NameList>
      </b:Author>
    </b:Author>
    <b:JournalName>Fiscal Studies</b:JournalName>
    <b:Volume>32</b:Volume>
    <b:Issue>2</b:Issue>
    <b:RefOrder>4</b:RefOrder>
  </b:Source>
  <b:Source>
    <b:Tag>Bul16</b:Tag>
    <b:SourceType>Report</b:SourceType>
    <b:Guid>{AACC8AD0-1741-554B-9FEC-EA26C62AD769}</b:Guid>
    <b:Title>Technology and Education: Computers, Software, and the Internet</b:Title>
    <b:City>Cambridge, MA</b:City>
    <b:Year>2016</b:Year>
    <b:Author>
      <b:Author>
        <b:NameList>
          <b:Person>
            <b:Last>Bulman</b:Last>
            <b:First>George</b:First>
          </b:Person>
          <b:Person>
            <b:Last>Fairlie</b:Last>
            <b:First>Robert</b:First>
            <b:Middle>W</b:Middle>
          </b:Person>
        </b:NameList>
      </b:Author>
    </b:Author>
    <b:Institution>National Bureau of Economic Research</b:Institution>
    <b:ThesisType>NBER Working Paper No. 22237</b:ThesisType>
    <b:RefOrder>5</b:RefOrder>
  </b:Source>
  <b:Source>
    <b:Tag>Ang14</b:Tag>
    <b:SourceType>JournalArticle</b:SourceType>
    <b:Guid>{319926F4-DD5D-9543-8FA6-6F7BEDAFA533}</b:Guid>
    <b:Author>
      <b:Author>
        <b:NameList>
          <b:Person>
            <b:Last>Angrist</b:Last>
            <b:First>Joshua</b:First>
            <b:Middle>D</b:Middle>
          </b:Person>
        </b:NameList>
      </b:Author>
    </b:Author>
    <b:Title>The perils of peer effects</b:Title>
    <b:Year>2014</b:Year>
    <b:Pages>98-108</b:Pages>
    <b:JournalName>Labour Economics</b:JournalName>
    <b:Volume>30</b:Volume>
    <b:RefOrder>6</b:RefOrder>
  </b:Source>
  <b:Source>
    <b:Tag>Tyr162</b:Tag>
    <b:SourceType>Report</b:SourceType>
    <b:Guid>{C2135F94-298F-BF4F-8CE0-7ED0C775D033}</b:Guid>
    <b:Title>The Impact of Upper-Secondary Voucher School Attendance on Student Achievement: Swedish Evidence using External and Internal Evaluations</b:Title>
    <b:City>Stockholm</b:City>
    <b:Year>2016</b:Year>
    <b:Author>
      <b:Author>
        <b:NameList>
          <b:Person>
            <b:Last>Tyrefors Hinnerich</b:Last>
            <b:First>Björn</b:First>
          </b:Person>
          <b:Person>
            <b:Last>Vlachos</b:Last>
            <b:First>Jonas</b:First>
          </b:Person>
        </b:NameList>
      </b:Author>
    </b:Author>
    <b:Institution>Institutet för Näringslivsforskning</b:Institution>
    <b:ThesisType>IFN Working Paper No. 1128</b:ThesisType>
    <b:RefOrder>7</b:RefOrder>
  </b:Source>
  <b:Source>
    <b:Tag>Sko6b</b:Tag>
    <b:SourceType>Report</b:SourceType>
    <b:Guid>{CA2931F7-080F-7E4E-97AD-55285978AA05}</b:Guid>
    <b:Author>
      <b:Author>
        <b:Corporate>Skolverket</b:Corporate>
      </b:Author>
    </b:Author>
    <b:Title>Resultatskillnader mellan elever i fristående och kommunala skolor enligt PISA 2015 (och PISA 2012)</b:Title>
    <b:City>Stockholm</b:City>
    <b:ThesisType>Dnr: 5.1.2-2014:684</b:ThesisType>
    <b:Year>2016b</b:Year>
    <b:RefOrder>8</b:RefOrder>
  </b:Source>
  <b:Source>
    <b:Tag>Hel154</b:Tag>
    <b:SourceType>Book</b:SourceType>
    <b:Guid>{6555EFFF-F721-9143-81F3-E9EFA514D655}</b:Guid>
    <b:Title>Real Finnish Lessons: The True Story of an Education Superpower</b:Title>
    <b:Publisher>Centre for Policy Studies</b:Publisher>
    <b:City>London</b:City>
    <b:Year>2015</b:Year>
    <b:Author>
      <b:Author>
        <b:NameList>
          <b:Person>
            <b:Last>Heller Sahlgren</b:Last>
            <b:First>Gabriel</b:First>
          </b:Person>
        </b:NameList>
      </b:Author>
    </b:Author>
    <b:RefOrder>9</b:RefOrder>
  </b:Source>
  <b:Source>
    <b:Tag>Sko6c</b:Tag>
    <b:SourceType>Report</b:SourceType>
    <b:Guid>{E79CE1A7-FB39-8E4C-B3DD-E24B67E03DEB}</b:Guid>
    <b:Author>
      <b:Author>
        <b:Corporate>Skolverket</b:Corporate>
      </b:Author>
    </b:Author>
    <b:Title>Nationell strategi för digitaliseringen av skolväsendet</b:Title>
    <b:City>Stockholm</b:City>
    <b:Year>2016c</b:Year>
    <b:ThesisType>Dnr U2015/04666/S</b:ThesisType>
    <b:RefOrder>10</b:RefOrder>
  </b:Source>
  <b:Source>
    <b:Tag>OEC6a</b:Tag>
    <b:SourceType>Book</b:SourceType>
    <b:Guid>{29DB48F6-B0C2-C549-B485-105C084198BC}</b:Guid>
    <b:Author>
      <b:Author>
        <b:Corporate>OECD</b:Corporate>
      </b:Author>
    </b:Author>
    <b:Title>PISA 2015 Results (Volume II): Policies and Practices for Successful Schools</b:Title>
    <b:Publisher>OECD Publishing</b:Publisher>
    <b:City>Paris</b:City>
    <b:Year>2016a</b:Year>
    <b:RefOrder>11</b:RefOrder>
  </b:Source>
  <b:Source>
    <b:Tag>OEC6b1</b:Tag>
    <b:SourceType>Book</b:SourceType>
    <b:Guid>{E5C6EDC4-40F0-9548-86F9-ED41CACF735E}</b:Guid>
    <b:Author>
      <b:Author>
        <b:Corporate>OECD</b:Corporate>
      </b:Author>
    </b:Author>
    <b:Title>PISA 2015 Results (Volume I): Excellence and Equity in Education</b:Title>
    <b:Publisher>OECD Publishing</b:Publisher>
    <b:City>Paris</b:City>
    <b:Year>2016b</b:Year>
    <b:RefOrder>12</b:RefOrder>
  </b:Source>
  <b:Source>
    <b:Tag>OEC6b</b:Tag>
    <b:SourceType>Report</b:SourceType>
    <b:Guid>{E77308FB-031F-D543-82E0-3916A3DD14E0}</b:Guid>
    <b:Author>
      <b:Author>
        <b:Corporate>OECD</b:Corporate>
      </b:Author>
    </b:Author>
    <b:Title>Data hämtad från OECD:s internationella database: http://www.oecd.org/pisa/</b:Title>
    <b:City>Paris</b:City>
    <b:Year>2016c</b:Year>
    <b:RefOrder>13</b:RefOrder>
  </b:Source>
  <b:Source>
    <b:Tag>Lav15</b:Tag>
    <b:SourceType>JournalArticle</b:SourceType>
    <b:Guid>{2593E38E-7BFE-F440-8633-49EF3C88FBB4}</b:Guid>
    <b:Title>Do Differences in Schools' Instruction Time Explain International Achievement Gaps? Evidence from Developed and Developing Countries</b:Title>
    <b:Year>2015</b:Year>
    <b:Volume>125</b:Volume>
    <b:Pages>F397–F424</b:Pages>
    <b:Author>
      <b:Author>
        <b:NameList>
          <b:Person>
            <b:Last>Lavy</b:Last>
            <b:First>Victor</b:First>
          </b:Person>
        </b:NameList>
      </b:Author>
    </b:Author>
    <b:JournalName>Economic Journal</b:JournalName>
    <b:RefOrder>14</b:RefOrder>
  </b:Source>
  <b:Source>
    <b:Tag>Hel14</b:Tag>
    <b:SourceType>Report</b:SourceType>
    <b:Guid>{6179CB11-42EB-6B47-8565-BBF656EEB7C6}</b:Guid>
    <b:Author>
      <b:Author>
        <b:NameList>
          <b:Person>
            <b:Last>Heller Sahlgren</b:Last>
            <b:First>Gabriel</b:First>
          </b:Person>
        </b:NameList>
      </b:Author>
    </b:Author>
    <b:Title>Slänger vi pengarna i sjön? Resurser, reformer och utbildningspolitiska slutsatser</b:Title>
    <b:City>Stockholm</b:City>
    <b:Year>2014</b:Year>
    <b:Institution>Institutet för Näringslivsforskning</b:Institution>
    <b:ThesisType>IFN Policy Paper nr 68</b:ThesisType>
    <b:RefOrder>15</b:RefOrder>
  </b:Source>
  <b:Source>
    <b:Tag>Fal13</b:Tag>
    <b:SourceType>JournalArticle</b:SourceType>
    <b:Guid>{8A59331D-EC46-5144-AEB2-12373BA413EB}</b:Guid>
    <b:Title>School competition and students’ entrepreneurial intentions: international evidence using historical Catholic roots of private schooling</b:Title>
    <b:Year>2013</b:Year>
    <b:Pages>459-478</b:Pages>
    <b:Author>
      <b:Author>
        <b:NameList>
          <b:Person>
            <b:Last>Falck</b:Last>
            <b:First>Oliver</b:First>
          </b:Person>
          <b:Person>
            <b:Last>Woessmann</b:Last>
            <b:First>Ludger</b:First>
          </b:Person>
        </b:NameList>
      </b:Author>
    </b:Author>
    <b:JournalName>Small Business Economics</b:JournalName>
    <b:Volume>40</b:Volume>
    <b:Issue>2</b:Issue>
    <b:RefOrder>16</b:RefOrder>
  </b:Source>
  <b:Source>
    <b:Tag>Han131</b:Tag>
    <b:SourceType>JournalArticle</b:SourceType>
    <b:Guid>{A5F51730-BE63-F645-8A71-4A97F7511B04}</b:Guid>
    <b:Title>Does school autonomy make sense everywhere? Panel estimates from PISA</b:Title>
    <b:Year>2013</b:Year>
    <b:Pages>212-232</b:Pages>
    <b:Author>
      <b:Author>
        <b:NameList>
          <b:Person>
            <b:Last>Hanushek</b:Last>
            <b:First>Eric</b:First>
            <b:Middle>A</b:Middle>
          </b:Person>
          <b:Person>
            <b:Last>Link</b:Last>
            <b:First>Susanne</b:First>
          </b:Person>
          <b:Person>
            <b:Last>Woessmann</b:Last>
            <b:First>Ludger</b:First>
          </b:Person>
        </b:NameList>
      </b:Author>
    </b:Author>
    <b:JournalName>Journal of Development Economics</b:JournalName>
    <b:Volume>104</b:Volume>
    <b:RefOrder>17</b:RefOrder>
  </b:Source>
  <b:Source>
    <b:Tag>Hel</b:Tag>
    <b:SourceType>Report</b:SourceType>
    <b:Guid>{97B17CD2-E6C8-914C-A600-D69518AF8451}</b:Guid>
    <b:Author>
      <b:Author>
        <b:NameList>
          <b:Person>
            <b:Last>Heller Sahlgren</b:Last>
            <b:First>Gabriel</b:First>
          </b:Person>
          <b:Person>
            <b:Last>Sanandaji</b:Last>
            <b:First>Nima</b:First>
          </b:Person>
        </b:NameList>
      </b:Author>
    </b:Author>
    <b:Title>Friskolorna och PISA</b:Title>
    <b:Institution>European Centre for Entrepreneurship and Policy Reform</b:Institution>
    <b:ThesisType>Report</b:ThesisType>
    <b:Year>2016</b:Year>
    <b:RefOrder>18</b:RefOrder>
  </b:Source>
  <b:Source>
    <b:Tag>Jac14</b:Tag>
    <b:SourceType>JournalArticle</b:SourceType>
    <b:Guid>{F460BB66-A4D4-B643-938A-D26693AD0981}</b:Guid>
    <b:Author>
      <b:Author>
        <b:NameList>
          <b:Person>
            <b:Last>Jackson</b:Last>
            <b:First>C.</b:First>
            <b:Middle>Kirabo</b:Middle>
          </b:Person>
          <b:Person>
            <b:Last>Rockoff</b:Last>
            <b:First>Jonah</b:First>
            <b:Middle>E</b:Middle>
          </b:Person>
          <b:Person>
            <b:Last>Staiger</b:Last>
            <b:First>Douglas</b:First>
            <b:Middle>O</b:Middle>
          </b:Person>
        </b:NameList>
      </b:Author>
    </b:Author>
    <b:Title>Teacher Effects and Teacher-Related Policies</b:Title>
    <b:JournalName>Annual Review of Economics</b:JournalName>
    <b:Year>2014</b:Year>
    <b:Volume>6</b:Volume>
    <b:Pages>801-825</b:Pages>
    <b:RefOrder>19</b:RefOrder>
  </b:Source>
  <b:Source>
    <b:Tag>Auc16</b:Tag>
    <b:SourceType>JournalArticle</b:SourceType>
    <b:Guid>{B3DC05A0-ED00-A54C-9963-4FC1CD280E35}</b:Guid>
    <b:Author>
      <b:Author>
        <b:NameList>
          <b:Person>
            <b:Last>Aucejo</b:Last>
            <b:First>Esteban</b:First>
            <b:Middle>M</b:Middle>
          </b:Person>
          <b:Person>
            <b:Last>Romano</b:Last>
            <b:First>Teresa</b:First>
            <b:Middle>Foy</b:Middle>
          </b:Person>
        </b:NameList>
      </b:Author>
    </b:Author>
    <b:Title>Assessing the effect of school days and absences on test score performance</b:Title>
    <b:JournalName>Economics of Education Review</b:JournalName>
    <b:Year>2016</b:Year>
    <b:Volume>55</b:Volume>
    <b:Pages>70-87</b:Pages>
    <b:RefOrder>20</b:RefOrder>
  </b:Source>
  <b:Source>
    <b:Tag>Ang16</b:Tag>
    <b:SourceType>Report</b:SourceType>
    <b:Guid>{6E584B7A-67CA-564D-B0FA-C11F63585FA8}</b:Guid>
    <b:Author>
      <b:Author>
        <b:NameList>
          <b:Person>
            <b:Last>Angelov</b:Last>
            <b:First>Nikolay</b:First>
          </b:Person>
          <b:Person>
            <b:Last>Edmark</b:Last>
            <b:First>Karin</b:First>
          </b:Person>
        </b:NameList>
      </b:Author>
    </b:Author>
    <b:Title>När skolan själv får välja - en ESO-rapport om friskolornas etableringsmönster</b:Title>
    <b:Institution>Finansdepartementet</b:Institution>
    <b:Department>Rapport till Expertgruppen för studier i offentlig ekonomi</b:Department>
    <b:City>Stockholm</b:City>
    <b:ThesisType>2016:3</b:ThesisType>
    <b:Year>2016</b:Year>
    <b:RefOrder>21</b:RefOrder>
  </b:Source>
  <b:Source>
    <b:Tag>Böh15</b:Tag>
    <b:SourceType>JournalArticle</b:SourceType>
    <b:Guid>{6B2D4B50-4666-4B45-A901-5494D96DF6AA}</b:Guid>
    <b:Title>Independent Schools and Long-run Educational Outcomes: Evidence from Sweden's Large-scale Voucher Reform</b:Title>
    <b:Year>2015</b:Year>
    <b:Pages>508-551</b:Pages>
    <b:Author>
      <b:Author>
        <b:NameList>
          <b:Person>
            <b:Last>Böhlmark</b:Last>
            <b:First>Anders</b:First>
          </b:Person>
          <b:Person>
            <b:Last>Lindahl</b:Last>
            <b:First>Mikael</b:First>
          </b:Person>
        </b:NameList>
      </b:Author>
    </b:Author>
    <b:JournalName>Economica</b:JournalName>
    <b:Volume>82</b:Volume>
    <b:Issue>327</b:Issue>
    <b:RefOrder>22</b:RefOrder>
  </b:Source>
  <b:Source>
    <b:Tag>Wan02</b:Tag>
    <b:SourceType>Report</b:SourceType>
    <b:Guid>{D9BA9F31-4BC7-DC4A-8FC2-1346F97767A0}</b:Guid>
    <b:Author>
      <b:Author>
        <b:NameList>
          <b:Person>
            <b:Last>Wanner</b:Last>
            <b:First>Philippe</b:First>
          </b:Person>
        </b:NameList>
      </b:Author>
    </b:Author>
    <b:Title>Migration trends in Europe</b:Title>
    <b:City>Strasbourg</b:City>
    <b:Year>2002</b:Year>
    <b:Institution>Council of Europe</b:Institution>
    <b:ThesisType>European Population Papers Series No. 7</b:ThesisType>
    <b:RefOrder>1</b:RefOrder>
  </b:Source>
  <b:Source>
    <b:Tag>Dus</b:Tag>
    <b:SourceType>Report</b:SourceType>
    <b:Guid>{B2196115-5642-DF4F-BC1D-BBEFF16234B1}</b:Guid>
    <b:Author>
      <b:Author>
        <b:NameList>
          <b:Person>
            <b:Last>Dustmann</b:Last>
            <b:First>Christian</b:First>
          </b:Person>
          <b:Person>
            <b:Last>Frattini</b:Last>
            <b:First>Tommaso</b:First>
          </b:Person>
        </b:NameList>
      </b:Author>
    </b:Author>
    <b:Title>Immigration: The European Experience</b:Title>
    <b:Institution>NORFACE Research Programme on Migration</b:Institution>
    <b:City>London</b:City>
    <b:ThesisType>Discussion Paper No. 2012-01</b:ThesisType>
    <b:Year>2012</b:Year>
    <b:RefOrder>2</b:RefOrder>
  </b:Source>
  <b:Source>
    <b:Tag>Dah121</b:Tag>
    <b:SourceType>JournalArticle</b:SourceType>
    <b:Guid>{D20B7B16-617F-1C4D-86DB-89B154970494}</b:Guid>
    <b:Author>
      <b:Author>
        <b:NameList>
          <b:Person>
            <b:Last>Dahlberg</b:Last>
            <b:First>Matz</b:First>
          </b:Person>
          <b:Person>
            <b:Last>Edmark</b:Last>
            <b:First>Karin</b:First>
          </b:Person>
          <b:Person>
            <b:Last>Lundqvist</b:Last>
            <b:First>Heléne</b:First>
          </b:Person>
        </b:NameList>
      </b:Author>
    </b:Author>
    <b:Title>Ethnic Diversity and Preferences for Redistribution</b:Title>
    <b:Year>2012</b:Year>
    <b:Pages>41-76</b:Pages>
    <b:JournalName>Journal of Political Economy</b:JournalName>
    <b:Volume>120</b:Volume>
    <b:Issue>1</b:Issue>
    <b:RefOrder>3</b:RefOrder>
  </b:Source>
  <b:Source>
    <b:Tag>Hal13</b:Tag>
    <b:SourceType>Report</b:SourceType>
    <b:Guid>{D21B57E4-BCAD-FC4C-BC3A-E29AD5162EF1}</b:Guid>
    <b:Title>Immigration and Voting for the Extreme Right</b:Title>
    <b:Year>2013</b:Year>
    <b:Author>
      <b:Author>
        <b:NameList>
          <b:Person>
            <b:Last>Halla</b:Last>
            <b:First>Martin</b:First>
          </b:Person>
          <b:Person>
            <b:Last>Wagner</b:Last>
            <b:First>Alexander</b:First>
            <b:Middle>F</b:Middle>
          </b:Person>
          <b:Person>
            <b:Last>Zweimüller</b:Last>
            <b:First>Josef</b:First>
          </b:Person>
        </b:NameList>
      </b:Author>
    </b:Author>
    <b:Institution>University of Zurich</b:Institution>
    <b:Department>Department of Economics</b:Department>
    <b:ThesisType>Working Paper No. 83</b:ThesisType>
    <b:RefOrder>4</b:RefOrder>
  </b:Source>
  <b:Source>
    <b:Tag>Cos14</b:Tag>
    <b:SourceType>JournalArticle</b:SourceType>
    <b:Guid>{0137BED0-2726-0640-9A01-FCC61C636BD0}</b:Guid>
    <b:Author>
      <b:Author>
        <b:NameList>
          <b:Person>
            <b:Last>Costa-Font</b:Last>
            <b:First>Joan</b:First>
          </b:Person>
          <b:Person>
            <b:Last>Cowell</b:Last>
            <b:First>Frank</b:First>
          </b:Person>
        </b:NameList>
      </b:Author>
    </b:Author>
    <b:Title>Social Identity and Redistributive Preferences: A Survey</b:Title>
    <b:JournalName>Journal of Economic Surveys</b:JournalName>
    <b:Year>2014</b:Year>
    <b:Volume>Doi: 10.1111/joes.12061</b:Volume>
    <b:RefOrder>6</b:RefOrder>
  </b:Source>
  <b:Source>
    <b:Tag>Ale01</b:Tag>
    <b:SourceType>Book</b:SourceType>
    <b:Guid>{CE33D6F9-B3E9-F748-AEEE-9B4D93B85548}</b:Guid>
    <b:Author>
      <b:Author>
        <b:NameList>
          <b:Person>
            <b:Last>Alesina</b:Last>
            <b:First>Alberto</b:First>
          </b:Person>
          <b:Person>
            <b:Last>Glaeser</b:Last>
            <b:First>Edward</b:First>
          </b:Person>
        </b:NameList>
      </b:Author>
    </b:Author>
    <b:Title>Fighting Poverty in the U.S. and in Europe: A World of Difference</b:Title>
    <b:Year>2004</b:Year>
    <b:JournalName>Brookings Papers on Economic Activity</b:JournalName>
    <b:Publisher>Oxford University Press</b:Publisher>
    <b:City>New York</b:City>
    <b:RefOrder>7</b:RefOrder>
  </b:Source>
  <b:Source>
    <b:Tag>Taj78</b:Tag>
    <b:SourceType>Book</b:SourceType>
    <b:Guid>{8A399545-8310-0D4C-9DE5-DE1082465D1F}</b:Guid>
    <b:Author>
      <b:Author>
        <b:NameList>
          <b:Person>
            <b:Last>Tajfel</b:Last>
            <b:First>Henri</b:First>
          </b:Person>
        </b:NameList>
      </b:Author>
    </b:Author>
    <b:Title>Differentiation between Social Groups: Studies in the Social Psychology of Intergroup Relations</b:Title>
    <b:City>London</b:City>
    <b:Publisher>Academic Press</b:Publisher>
    <b:Year>1978</b:Year>
    <b:RefOrder>8</b:RefOrder>
  </b:Source>
  <b:Source>
    <b:Tag>Bra14</b:Tag>
    <b:SourceType>JournalArticle</b:SourceType>
    <b:Guid>{2A3C1750-2864-6949-8B1A-06EFDF33ED87}</b:Guid>
    <b:Author>
      <b:Author>
        <b:NameList>
          <b:Person>
            <b:Last>Brady</b:Last>
            <b:First>David</b:First>
          </b:Person>
          <b:Person>
            <b:Last>Finnigan</b:Last>
            <b:First>Ryan</b:First>
          </b:Person>
        </b:NameList>
      </b:Author>
    </b:Author>
    <b:Title>Does Immigration Undermine Public Support for Social Policy?</b:Title>
    <b:JournalName>American Sociological Review</b:JournalName>
    <b:Year>2014</b:Year>
    <b:Volume>79</b:Volume>
    <b:Issue>1</b:Issue>
    <b:Pages>17-42</b:Pages>
    <b:RefOrder>9</b:RefOrder>
  </b:Source>
  <b:Source>
    <b:Tag>Ale00</b:Tag>
    <b:SourceType>JournalArticle</b:SourceType>
    <b:Guid>{D2EDCE41-7F47-3E4F-B5EB-3DEA79553362}</b:Guid>
    <b:Author>
      <b:Author>
        <b:NameList>
          <b:Person>
            <b:Last>Alesina</b:Last>
            <b:First>Alberto</b:First>
          </b:Person>
          <b:Person>
            <b:Last>La Ferrara</b:Last>
            <b:First>Eliana</b:First>
          </b:Person>
        </b:NameList>
      </b:Author>
    </b:Author>
    <b:Title>Participation in Heterogenous Communities</b:Title>
    <b:JournalName>Quarterly Journal of Economics</b:JournalName>
    <b:Year>2000</b:Year>
    <b:Volume>115</b:Volume>
    <b:Issue>3</b:Issue>
    <b:Pages>847-904</b:Pages>
    <b:RefOrder>10</b:RefOrder>
  </b:Source>
  <b:Source>
    <b:Tag>Sch13</b:Tag>
    <b:SourceType>Report</b:SourceType>
    <b:Guid>{5AA86AFC-7C23-EC4F-A217-AC9220450B5B}</b:Guid>
    <b:Author>
      <b:Author>
        <b:NameList>
          <b:Person>
            <b:Last>Schaeffer</b:Last>
            <b:First>Merlin</b:First>
          </b:Person>
        </b:NameList>
      </b:Author>
    </b:Author>
    <b:Title>Ethnic Diversity, Public Goods Provision  and Social Cohesion: Lessons from an Inconclusive Literature</b:Title>
    <b:City>Berlin</b:City>
    <b:Year>2013</b:Year>
    <b:Institution>WZB Berlin Social Research Center</b:Institution>
    <b:ThesisType>Discussion Paper SP VI 2013–103</b:ThesisType>
    <b:RefOrder>11</b:RefOrder>
  </b:Source>
  <b:Source>
    <b:Tag>Nek121</b:Tag>
    <b:SourceType>Report</b:SourceType>
    <b:Guid>{AA5A0435-D16D-EC47-BF63-2BB2E40FB129}</b:Guid>
    <b:Author>
      <b:Author>
        <b:NameList>
          <b:Person>
            <b:Last>Nekby</b:Last>
            <b:First>Lena</b:First>
          </b:Person>
          <b:Person>
            <b:Last>Petterson-Lidbom</b:Last>
            <b:First>Per</b:First>
          </b:Person>
        </b:NameList>
      </b:Author>
    </b:Author>
    <b:Title>Revisiting the Relationship between Ethnic Diversity and Preferences for Redistribution</b:Title>
    <b:Year>2012</b:Year>
    <b:Institution>Stockholm University</b:Institution>
    <b:Department>Department of Economics</b:Department>
    <b:ThesisType>Working Paper</b:ThesisType>
    <b:RefOrder>12</b:RefOrder>
  </b:Source>
  <b:Source>
    <b:Tag>Nek14</b:Tag>
    <b:SourceType>Report</b:SourceType>
    <b:Guid>{ADA5AA76-46E2-4D4A-9B31-E9A8A262E703}</b:Guid>
    <b:Author>
      <b:Author>
        <b:NameList>
          <b:Person>
            <b:Last>Nekby</b:Last>
            <b:First>Lena</b:First>
          </b:Person>
          <b:Person>
            <b:Last>Petterson-Lidbom</b:Last>
            <b:First>Per</b:First>
          </b:Person>
        </b:NameList>
      </b:Author>
    </b:Author>
    <b:Title>Comment on Dahlberg, Edmark and Lundqvist (2012)  </b:Title>
    <b:Institution>Stockholm University</b:Institution>
    <b:Department>Department of Economics</b:Department>
    <b:ThesisType>Working Paper</b:ThesisType>
    <b:Year>2014</b:Year>
    <b:RefOrder>13</b:RefOrder>
  </b:Source>
  <b:Source>
    <b:Tag>van06</b:Tag>
    <b:SourceType>JournalArticle</b:SourceType>
    <b:Guid>{839ACF34-F891-3740-A70F-B266761150F3}</b:Guid>
    <b:Author>
      <b:Author>
        <b:NameList>
          <b:Person>
            <b:Last>van Oorschot</b:Last>
            <b:First>Wim</b:First>
          </b:Person>
        </b:NameList>
      </b:Author>
    </b:Author>
    <b:Title>Making the Difference in Social Europe: Deservingness Perceptions among Citizens of European Welfare States</b:Title>
    <b:JournalName>Journal of European Social Policy</b:JournalName>
    <b:Year>2006</b:Year>
    <b:Volume>16</b:Volume>
    <b:Pages>23-42</b:Pages>
    <b:RefOrder>14</b:RefOrder>
  </b:Source>
  <b:Source>
    <b:Tag>Van10</b:Tag>
    <b:SourceType>JournalArticle</b:SourceType>
    <b:Guid>{A8453851-AC16-1149-B614-F4A63163294B}</b:Guid>
    <b:Author>
      <b:Author>
        <b:NameList>
          <b:Person>
            <b:Last>van der Waal</b:Last>
            <b:First>Jeroen</b:First>
          </b:Person>
          <b:Person>
            <b:Last>Achterberg</b:Last>
            <b:First>Peter</b:First>
          </b:Person>
          <b:Person>
            <b:Last>Houtman</b:Last>
            <b:First>Dick</b:First>
          </b:Person>
          <b:Person>
            <b:Last>de Koster</b:Last>
            <b:First>Willem</b:First>
          </b:Person>
          <b:Person>
            <b:Last>Manevska</b:Last>
            <b:First>Katerina</b:First>
          </b:Person>
        </b:NameList>
      </b:Author>
    </b:Author>
    <b:Title>'Some Are More Equal than Others': Economic Egalitarianism and Welfare Chauvinism in the Netherlands</b:Title>
    <b:Year>2010</b:Year>
    <b:Pages>350-363</b:Pages>
    <b:JournalName>Journal of European Social Policy</b:JournalName>
    <b:Volume>20</b:Volume>
    <b:Issue>4</b:Issue>
    <b:RefOrder>15</b:RefOrder>
  </b:Source>
  <b:Source>
    <b:Tag>Bay13</b:Tag>
    <b:SourceType>JournalArticle</b:SourceType>
    <b:Guid>{5BC6C980-C020-4F47-B021-05010D9CDEE9}</b:Guid>
    <b:Author>
      <b:Author>
        <b:NameList>
          <b:Person>
            <b:Last>Bay</b:Last>
            <b:First>Ann-Helén</b:First>
          </b:Person>
          <b:Person>
            <b:Last>Finseraas</b:Last>
            <b:First>Henning</b:First>
          </b:Person>
          <b:Person>
            <b:Last>West Pedersen</b:Last>
            <b:First>Axel</b:First>
          </b:Person>
        </b:NameList>
      </b:Author>
    </b:Author>
    <b:Title>Welfare Dualism in Two Scandinavian Welfare States: Public Opinion and Party Politics</b:Title>
    <b:JournalName>West European Politics</b:JournalName>
    <b:Year>2013</b:Year>
    <b:Volume>36</b:Volume>
    <b:Issue>1</b:Issue>
    <b:Pages>199-220</b:Pages>
    <b:RefOrder>16</b:RefOrder>
  </b:Source>
  <b:Source>
    <b:Tag>Dah131</b:Tag>
    <b:SourceType>Report</b:SourceType>
    <b:Guid>{A12BECE9-729C-3046-ACDB-576011C0A412}</b:Guid>
    <b:Title>Ethnic Diversity and Preferences for Redistribution: Reply</b:Title>
    <b:Year>2013</b:Year>
    <b:Author>
      <b:Author>
        <b:NameList>
          <b:Person>
            <b:Last>Dahlberg</b:Last>
            <b:First>Matz</b:First>
          </b:Person>
          <b:Person>
            <b:Last>Edmark</b:Last>
            <b:First>Karin</b:First>
          </b:Person>
          <b:Person>
            <b:Last>Lundquist</b:Last>
            <b:First>Heléne</b:First>
          </b:Person>
        </b:NameList>
      </b:Author>
    </b:Author>
    <b:Institution>Uppsala University</b:Institution>
    <b:Department>Department of Economics</b:Department>
    <b:ThesisType>Working Paper 2013:4</b:ThesisType>
    <b:RefOrder>17</b:RefOrder>
  </b:Source>
  <b:Source>
    <b:Tag>Har111</b:Tag>
    <b:SourceType>Book</b:SourceType>
    <b:Guid>{8D7710DE-E753-744C-9FA2-FB18F4BFA676}</b:Guid>
    <b:Title>Mapping Extreme Right Ideology: An Empirical Geography of the European Extreme Right</b:Title>
    <b:Publisher>Palgrave Macmillan</b:Publisher>
    <b:City>New York</b:City>
    <b:Year>2011</b:Year>
    <b:Author>
      <b:Author>
        <b:NameList>
          <b:Person>
            <b:Last>Harrison</b:Last>
            <b:First>Sarah</b:First>
          </b:Person>
          <b:Person>
            <b:Last>Bruter</b:Last>
            <b:First>Michael</b:First>
          </b:Person>
        </b:NameList>
      </b:Author>
    </b:Author>
    <b:RefOrder>18</b:RefOrder>
  </b:Source>
  <b:Source>
    <b:Tag>Ger10</b:Tag>
    <b:SourceType>Report</b:SourceType>
    <b:Guid>{188166E0-EAE3-C04A-877D-9EE735E8AA04}</b:Guid>
    <b:Title>The Impact of Immigration on Election Outcomes in Danish Municipalities</b:Title>
    <b:City>Stockholm</b:City>
    <b:Year>2010</b:Year>
    <b:Author>
      <b:Author>
        <b:NameList>
          <b:Person>
            <b:Last>Gerdes</b:Last>
            <b:First>Christer</b:First>
          </b:Person>
          <b:Person>
            <b:Last>Wadensjö</b:Last>
            <b:First>Eskil</b:First>
          </b:Person>
        </b:NameList>
      </b:Author>
    </b:Author>
    <b:Institution>The Stockholm University Linnaeus Center for Integration Studies (SULCIS)</b:Institution>
    <b:ThesisType>Working Paper 2010:3</b:ThesisType>
    <b:RefOrder>19</b:RefOrder>
  </b:Source>
  <b:Source>
    <b:Tag>Har142</b:Tag>
    <b:SourceType>Report</b:SourceType>
    <b:Guid>{8DFDC224-3BF6-A643-BD02-D236250AFC3A}</b:Guid>
    <b:Author>
      <b:Author>
        <b:NameList>
          <b:Person>
            <b:Last>Harmon</b:Last>
            <b:First>Nikolaj</b:First>
            <b:Middle>A</b:Middle>
          </b:Person>
        </b:NameList>
      </b:Author>
    </b:Author>
    <b:Title>Immigration, Ethnic Diversity and Political Outcomes: Evidence from Denmark</b:Title>
    <b:Institution>University of Copenhagen</b:Institution>
    <b:ThesisType>Unpublished Manuscript</b:ThesisType>
    <b:Year>2014</b:Year>
    <b:RefOrder>20</b:RefOrder>
  </b:Source>
  <b:Source>
    <b:Tag>Bar14</b:Tag>
    <b:SourceType>Report</b:SourceType>
    <b:Guid>{55D185BB-8DDB-7642-974B-4D5A05695BDE}</b:Guid>
    <b:Author>
      <b:Author>
        <b:NameList>
          <b:Person>
            <b:Last>Barone</b:Last>
            <b:First>Guglielmo</b:First>
          </b:Person>
          <b:Person>
            <b:Last>D'Ignazio</b:Last>
            <b:First>Alessio</b:First>
          </b:Person>
          <b:Person>
            <b:Last>de Blasio</b:Last>
            <b:First>Guido</b:First>
          </b:Person>
          <b:Person>
            <b:Last>Naticchioni</b:Last>
            <b:First>Paolo</b:First>
          </b:Person>
        </b:NameList>
      </b:Author>
    </b:Author>
    <b:Title>Mr. Rossi, Mr. Hu and Politics: The Role of Immigration in Shaping Natives’ Political Preferences</b:Title>
    <b:Institution>Institute for the Study of Labor</b:Institution>
    <b:City>Bonn</b:City>
    <b:ThesisType>Discussion Paper No. 8228</b:ThesisType>
    <b:Year>2014</b:Year>
    <b:RefOrder>21</b:RefOrder>
  </b:Source>
  <b:Source>
    <b:Tag>Ott14</b:Tag>
    <b:SourceType>JournalArticle</b:SourceType>
    <b:Guid>{E75193FD-A465-C04F-B85B-BC1C26CC4832}</b:Guid>
    <b:Title>Immigration and Election Outcomes — Evidence from City Districts in Hamburg</b:Title>
    <b:Year>2014</b:Year>
    <b:Pages>67-79</b:Pages>
    <b:Author>
      <b:Author>
        <b:NameList>
          <b:Person>
            <b:Last>Otto</b:Last>
            <b:First>Alkis</b:First>
            <b:Middle>H</b:Middle>
          </b:Person>
          <b:Person>
            <b:Last>Steinhardt</b:Last>
            <b:First>Max</b:First>
            <b:Middle>F</b:Middle>
          </b:Person>
        </b:NameList>
      </b:Author>
    </b:Author>
    <b:JournalName>Regional Science and Urban Economics</b:JournalName>
    <b:Volume>45</b:Volume>
    <b:RefOrder>22</b:RefOrder>
  </b:Source>
  <b:Source>
    <b:Tag>Dus01</b:Tag>
    <b:SourceType>JournalArticle</b:SourceType>
    <b:Guid>{C94154A4-2D5E-F742-8D73-18FD60C4B53E}</b:Guid>
    <b:Author>
      <b:Author>
        <b:NameList>
          <b:Person>
            <b:Last>Dustmann</b:Last>
            <b:First>Christian</b:First>
          </b:Person>
          <b:Person>
            <b:Last>Preston</b:Last>
            <b:First>Ian</b:First>
          </b:Person>
        </b:NameList>
      </b:Author>
    </b:Author>
    <b:Title>Attitudes to Ethnic Minorities, Ethnic Context and Location Decisions</b:Title>
    <b:JournalName>Economic Journal</b:JournalName>
    <b:Year>2001</b:Year>
    <b:Volume>111</b:Volume>
    <b:Pages>353-373</b:Pages>
    <b:RefOrder>23</b:RefOrder>
  </b:Source>
  <b:Source>
    <b:Tag>Ryd13</b:Tag>
    <b:SourceType>JournalArticle</b:SourceType>
    <b:Guid>{EA6DAD2E-7E58-0D4A-8EC2-EFA9E40F5F81}</b:Guid>
    <b:Author>
      <b:Author>
        <b:NameList>
          <b:Person>
            <b:Last>Rydgren</b:Last>
            <b:First>Jens</b:First>
          </b:Person>
          <b:Person>
            <b:Last>Ruth</b:Last>
            <b:First>Patrick</b:First>
          </b:Person>
        </b:NameList>
      </b:Author>
    </b:Author>
    <b:Title>Contextual Explanations of Radical Right-wing Support in Sweden: Socioeconomic Marginalization, Group Threat, and the Halo Effect</b:Title>
    <b:Year>2013</b:Year>
    <b:Pages>711-728</b:Pages>
    <b:JournalName>Ethnic and Racial Studies</b:JournalName>
    <b:Volume>36</b:Volume>
    <b:Issue>4</b:Issue>
    <b:RefOrder>24</b:RefOrder>
  </b:Source>
  <b:Source>
    <b:Tag>Men14</b:Tag>
    <b:SourceType>JournalArticle</b:SourceType>
    <b:Guid>{8B9B89AB-B534-1F4A-9538-9DCDF3021322}</b:Guid>
    <b:Author>
      <b:Author>
        <b:NameList>
          <b:Person>
            <b:Last>Mendez</b:Last>
            <b:First>Ildefonso</b:First>
          </b:Person>
          <b:Person>
            <b:Last>Cutillas</b:Last>
            <b:First>Isabel</b:First>
            <b:Middle>M</b:Middle>
          </b:Person>
        </b:NameList>
      </b:Author>
    </b:Author>
    <b:Title>Has Immigration Affected Spanish Presidential Elections Results?  </b:Title>
    <b:JournalName>Journal of Population Economics</b:JournalName>
    <b:Year>2014</b:Year>
    <b:Volume>27</b:Volume>
    <b:Pages>135-171</b:Pages>
    <b:RefOrder>25</b:RefOrder>
  </b:Source>
  <b:Source>
    <b:Tag>Ryd11</b:Tag>
    <b:SourceType>JournalArticle</b:SourceType>
    <b:Guid>{98E2DE07-60BE-0441-9BBF-FD0B1826F0E6}</b:Guid>
    <b:Author>
      <b:Author>
        <b:NameList>
          <b:Person>
            <b:Last>Rydgren</b:Last>
            <b:First>Jens</b:First>
          </b:Person>
          <b:Person>
            <b:Last>Ruth</b:Last>
            <b:First>Patrick</b:First>
          </b:Person>
        </b:NameList>
      </b:Author>
    </b:Author>
    <b:Title>Voting for the Radical Right in Swedish Municipalities: Social Marginality and Ethnic Competition?</b:Title>
    <b:JournalName>Scandinavian Political Studies</b:JournalName>
    <b:Year>2011</b:Year>
    <b:Volume>34</b:Volume>
    <b:Issue>3</b:Issue>
    <b:Pages>202-225</b:Pages>
    <b:RefOrder>26</b:RefOrder>
  </b:Source>
  <b:Source>
    <b:Tag>Gra00</b:Tag>
    <b:SourceType>JournalArticle</b:SourceType>
    <b:Guid>{0FD16BBB-6909-D046-B38D-CB9137A6DEC4}</b:Guid>
    <b:Author>
      <b:Author>
        <b:NameList>
          <b:Person>
            <b:Last>Gray</b:Last>
            <b:First>Mark</b:First>
          </b:Person>
          <b:Person>
            <b:Last>Caul</b:Last>
            <b:First>Miki</b:First>
          </b:Person>
        </b:NameList>
      </b:Author>
    </b:Author>
    <b:Title>  Declining Voter Turnout in Advanced Industrial Democracies, 1950 to 1997: The Effects of Declining Group Mobilization</b:Title>
    <b:JournalName>Comparative Political Studies</b:JournalName>
    <b:Year>2000</b:Year>
    <b:Volume>33</b:Volume>
    <b:Issue>9</b:Issue>
    <b:Pages>1091-1122</b:Pages>
    <b:RefOrder>27</b:RefOrder>
  </b:Source>
  <b:Source>
    <b:Tag>Hil99</b:Tag>
    <b:SourceType>JournalArticle</b:SourceType>
    <b:Guid>{81123534-6CBF-F04D-99F3-C29D410C598B}</b:Guid>
    <b:Author>
      <b:Author>
        <b:NameList>
          <b:Person>
            <b:Last>Hill</b:Last>
            <b:First>Kim</b:First>
            <b:Middle>Quaile</b:Middle>
          </b:Person>
          <b:Person>
            <b:Last>Leighley</b:Last>
            <b:First>Jan</b:First>
            <b:Middle>E</b:Middle>
          </b:Person>
        </b:NameList>
      </b:Author>
    </b:Author>
    <b:Title>Racial Diversity, Voter Turnout, and Mobilizing Institutions in the United States</b:Title>
    <b:JournalName>American Politics Research</b:JournalName>
    <b:Year>1999</b:Year>
    <b:Volume>27</b:Volume>
    <b:Issue>3</b:Issue>
    <b:Pages>275-295</b:Pages>
    <b:RefOrder>28</b:RefOrder>
  </b:Source>
  <b:Source>
    <b:Tag>Lei99</b:Tag>
    <b:SourceType>JournalArticle</b:SourceType>
    <b:Guid>{D7CE0F09-D150-CC40-8A76-F4F09E7EF1DA}</b:Guid>
    <b:Author>
      <b:Author>
        <b:NameList>
          <b:Person>
            <b:Last>Leighley</b:Last>
            <b:First>Jan</b:First>
            <b:Middle>E</b:Middle>
          </b:Person>
          <b:Person>
            <b:Last>Vedlitz</b:Last>
            <b:First>Arnold</b:First>
          </b:Person>
        </b:NameList>
      </b:Author>
    </b:Author>
    <b:Title>Race, Ethnicity, and Political Participation: Competing Models and Contrasting Explanations</b:Title>
    <b:JournalName>Journal of Politics</b:JournalName>
    <b:Year>1999</b:Year>
    <b:Volume>61</b:Volume>
    <b:Issue>4</b:Issue>
    <b:Pages>1092-1114</b:Pages>
    <b:RefOrder>29</b:RefOrder>
  </b:Source>
  <b:Source>
    <b:Tag>Vos96</b:Tag>
    <b:SourceType>JournalArticle</b:SourceType>
    <b:Guid>{9790B365-72E5-7E49-A86A-1EE3A498C1F0}</b:Guid>
    <b:Author>
      <b:Author>
        <b:NameList>
          <b:Person>
            <b:Last>Voss</b:Last>
            <b:First>Stephen</b:First>
          </b:Person>
        </b:NameList>
      </b:Author>
    </b:Author>
    <b:Title>Beyond Racial Threat: Failure of an Old Hypothesis in the New South</b:Title>
    <b:JournalName>Journal of Politics</b:JournalName>
    <b:Year>1996</b:Year>
    <b:Volume>58</b:Volume>
    <b:Issue>4</b:Issue>
    <b:Pages>1156-1170</b:Pages>
    <b:RefOrder>30</b:RefOrder>
  </b:Source>
  <b:Source>
    <b:Tag>Del131</b:Tag>
    <b:SourceType>JournalArticle</b:SourceType>
    <b:Guid>{43FD7CBE-2248-DC42-BF6A-8D429E3334AA}</b:Guid>
    <b:Author>
      <b:Author>
        <b:NameList>
          <b:Person>
            <b:Last>Della Posta</b:Last>
            <b:First>Daniel</b:First>
            <b:Middle>J</b:Middle>
          </b:Person>
        </b:NameList>
      </b:Author>
    </b:Author>
    <b:Title>Competitive Threat, Intergroup Contact, or Both? Immigration and the Dynamics of Front National Voting in France</b:Title>
    <b:Year>2013</b:Year>
    <b:Pages>249-273</b:Pages>
    <b:JournalName>Social Forces</b:JournalName>
    <b:Volume>92</b:Volume>
    <b:Issue>1</b:Issue>
    <b:RefOrder>31</b:RefOrder>
  </b:Source>
  <b:Source>
    <b:Tag>Gil93</b:Tag>
    <b:SourceType>JournalArticle</b:SourceType>
    <b:Guid>{327F61E0-D495-6148-9607-03F0DA759180}</b:Guid>
    <b:Author>
      <b:Author>
        <b:NameList>
          <b:Person>
            <b:Last>Giles</b:Last>
            <b:First>Michael</b:First>
            <b:Middle>W</b:Middle>
          </b:Person>
          <b:Person>
            <b:Last>Buckner</b:Last>
            <b:First>Melanie</b:First>
            <b:Middle>A</b:Middle>
          </b:Person>
        </b:NameList>
      </b:Author>
    </b:Author>
    <b:Title>David Duke and Black Threat: An Old Hypothesis Revisited</b:Title>
    <b:JournalName>Journal of Politics</b:JournalName>
    <b:Year>1993</b:Year>
    <b:Volume>55</b:Volume>
    <b:Issue>3</b:Issue>
    <b:Pages>702-713</b:Pages>
    <b:RefOrder>32</b:RefOrder>
  </b:Source>
  <b:Source>
    <b:Tag>Wil47</b:Tag>
    <b:SourceType>Book</b:SourceType>
    <b:Guid>{A3152708-930F-E844-8B44-0A9E0CFFAE2E}</b:Guid>
    <b:Title>The reduction of intergroup tensions: a survey of research on problems of ethnic, racial, and religious group relations</b:Title>
    <b:City>New York</b:City>
    <b:Publisher>Social Science Research Council</b:Publisher>
    <b:Year>1947</b:Year>
    <b:Author>
      <b:Author>
        <b:NameList>
          <b:Person>
            <b:Last>Williams Jr</b:Last>
            <b:First>Robin</b:First>
            <b:Middle>M</b:Middle>
          </b:Person>
        </b:NameList>
      </b:Author>
    </b:Author>
    <b:JournalName>Social Science Research Council Bulletin</b:JournalName>
    <b:RefOrder>33</b:RefOrder>
  </b:Source>
  <b:Source>
    <b:Tag>Eno15</b:Tag>
    <b:SourceType>JournalArticle</b:SourceType>
    <b:Guid>{0B81048F-EF0A-614E-BD89-564102F95DA9}</b:Guid>
    <b:Author>
      <b:Author>
        <b:NameList>
          <b:Person>
            <b:Last>Enos</b:Last>
            <b:First>Ryan</b:First>
            <b:Middle>D</b:Middle>
          </b:Person>
        </b:NameList>
      </b:Author>
    </b:Author>
    <b:Title>What the Demolition of Public Housing Teaches Us about the Impact of Racial Threat on Political Behavior</b:Title>
    <b:Year>2015</b:Year>
    <b:Volume>DOI: 10.1111/ajps.12156</b:Volume>
    <b:JournalName>American Journal of Political Science</b:JournalName>
    <b:RefOrder>34</b:RefOrder>
  </b:Source>
  <b:Source>
    <b:Tag>Oli03</b:Tag>
    <b:SourceType>JournalArticle</b:SourceType>
    <b:Guid>{481BD652-D007-2044-8D76-BCF2FDA4EB31}</b:Guid>
    <b:Author>
      <b:Author>
        <b:NameList>
          <b:Person>
            <b:Last>Oliver</b:Last>
            <b:First>J</b:First>
            <b:Middle>Eric</b:Middle>
          </b:Person>
          <b:Person>
            <b:Last>Wong</b:Last>
            <b:First>Janelle</b:First>
          </b:Person>
        </b:NameList>
      </b:Author>
    </b:Author>
    <b:Title>Intergroup Prejudice in Multiethnic Settings</b:Title>
    <b:JournalName>American Journal of Political Science</b:JournalName>
    <b:Year>2003</b:Year>
    <b:Volume>47</b:Volume>
    <b:Issue>4</b:Issue>
    <b:Pages>567-582</b:Pages>
    <b:RefOrder>35</b:RefOrder>
  </b:Source>
  <b:Source>
    <b:Tag>Oli00</b:Tag>
    <b:SourceType>JournalArticle</b:SourceType>
    <b:Guid>{4043D219-8DC6-7B41-A814-28EF329657B1}</b:Guid>
    <b:Author>
      <b:Author>
        <b:NameList>
          <b:Person>
            <b:Last>Oliver</b:Last>
            <b:First>J</b:First>
            <b:Middle>Eric</b:Middle>
          </b:Person>
          <b:Person>
            <b:Last>Mendelberg</b:Last>
            <b:First>Tali</b:First>
          </b:Person>
        </b:NameList>
      </b:Author>
    </b:Author>
    <b:Title>Reconsidering the Environmental Determinants of White Racial Attitudes</b:Title>
    <b:JournalName>American Journal of Political Science</b:JournalName>
    <b:Year>2000</b:Year>
    <b:Volume>44</b:Volume>
    <b:Issue>3</b:Issue>
    <b:Pages>574-589</b:Pages>
    <b:RefOrder>36</b:RefOrder>
  </b:Source>
  <b:Source>
    <b:Tag>New13</b:Tag>
    <b:SourceType>JournalArticle</b:SourceType>
    <b:Guid>{700828FE-C02B-1C43-B5E2-CD33BFAC1F10}</b:Guid>
    <b:Author>
      <b:Author>
        <b:NameList>
          <b:Person>
            <b:Last>Newman</b:Last>
            <b:First>Benjamin</b:First>
            <b:Middle>J</b:Middle>
          </b:Person>
        </b:NameList>
      </b:Author>
    </b:Author>
    <b:Title>Acculturating Contexts and Anglo Opposition to Immigration in the United States</b:Title>
    <b:JournalName>American Journal of Political Science</b:JournalName>
    <b:Year>2013</b:Year>
    <b:Volume>57</b:Volume>
    <b:Issue>2</b:Issue>
    <b:Pages>374-390</b:Pages>
    <b:RefOrder>37</b:RefOrder>
  </b:Source>
  <b:Source>
    <b:Tag>Fox04</b:Tag>
    <b:SourceType>JournalArticle</b:SourceType>
    <b:Guid>{45619143-4AB3-B549-8802-F2248789EBB7}</b:Guid>
    <b:Author>
      <b:Author>
        <b:NameList>
          <b:Person>
            <b:Last>Fox</b:Last>
            <b:First>Cybelle</b:First>
          </b:Person>
        </b:NameList>
      </b:Author>
    </b:Author>
    <b:Title>The Changing Color of Welfare? How Whites’ Attitudes toward Latinos Influence Support for Welfare</b:Title>
    <b:JournalName>American Journal of Sociology</b:JournalName>
    <b:Year>2004</b:Year>
    <b:Volume>110</b:Volume>
    <b:Issue>3</b:Issue>
    <b:Pages>580-625</b:Pages>
    <b:RefOrder>38</b:RefOrder>
  </b:Source>
  <b:Source>
    <b:Tag>McL03</b:Tag>
    <b:SourceType>JournalArticle</b:SourceType>
    <b:Guid>{068190C1-854D-9B41-8920-21DDBEC995CB}</b:Guid>
    <b:Author>
      <b:Author>
        <b:NameList>
          <b:Person>
            <b:Last>McLaren</b:Last>
            <b:First>Lauren</b:First>
            <b:Middle>M</b:Middle>
          </b:Person>
        </b:NameList>
      </b:Author>
    </b:Author>
    <b:Title>Anti-Immigrant Prejudice in Europe: Contact, Threat Perception, and Preferences for the Exclusion of Migrants</b:Title>
    <b:JournalName>Social Forces</b:JournalName>
    <b:Year>2003</b:Year>
    <b:Volume>81</b:Volume>
    <b:Issue>3</b:Issue>
    <b:Pages>909-936</b:Pages>
    <b:RefOrder>39</b:RefOrder>
  </b:Source>
  <b:Source>
    <b:Tag>Sch10</b:Tag>
    <b:SourceType>JournalArticle</b:SourceType>
    <b:Guid>{F1B03530-4656-514C-8132-55F08EC3460A}</b:Guid>
    <b:Author>
      <b:Author>
        <b:NameList>
          <b:Person>
            <b:Last>Schlueter</b:Last>
            <b:First>Elmar</b:First>
          </b:Person>
          <b:Person>
            <b:Last>Scheepers</b:Last>
            <b:First>Peer</b:First>
          </b:Person>
        </b:NameList>
      </b:Author>
    </b:Author>
    <b:Title>The Relationship Between Outgroup size and Anti-outgroup Attitudes: A Theoretical Synthesis and Empirical Test of Group Threat- and Intergroup Contact Theory</b:Title>
    <b:JournalName>Social Science Research</b:JournalName>
    <b:Year>2010</b:Year>
    <b:Volume>39</b:Volume>
    <b:Issue>2</b:Issue>
    <b:Pages>285-295</b:Pages>
    <b:RefOrder>40</b:RefOrder>
  </b:Source>
  <b:Source>
    <b:Tag>McL07</b:Tag>
    <b:SourceType>JournalArticle</b:SourceType>
    <b:Guid>{4203F362-FEA0-2C49-BA31-7F37BF1E4D48}</b:Guid>
    <b:Author>
      <b:Author>
        <b:NameList>
          <b:Person>
            <b:Last>McLaren</b:Last>
            <b:First>Lauren</b:First>
          </b:Person>
          <b:Person>
            <b:Last>Johnson</b:Last>
            <b:First>Mark</b:First>
          </b:Person>
        </b:NameList>
      </b:Author>
    </b:Author>
    <b:Title>Resources, Group Conflict and Symbols: Explaining Anti-Immigration Hostility in Britain</b:Title>
    <b:JournalName>Political Studies</b:JournalName>
    <b:Year>2007</b:Year>
    <b:Volume>55</b:Volume>
    <b:Issue>4</b:Issue>
    <b:Pages>709-732</b:Pages>
    <b:RefOrder>41</b:RefOrder>
  </b:Source>
  <b:Source>
    <b:Tag>Eno14</b:Tag>
    <b:SourceType>JournalArticle</b:SourceType>
    <b:Guid>{E754FE21-D677-DD4F-B99E-FF1111856266}</b:Guid>
    <b:Author>
      <b:Author>
        <b:NameList>
          <b:Person>
            <b:Last>Enos</b:Last>
            <b:First>Ryan</b:First>
            <b:Middle>D</b:Middle>
          </b:Person>
        </b:NameList>
      </b:Author>
    </b:Author>
    <b:Title>Causal Effect of Intergroup Contact on Exclusionary Attitudes</b:Title>
    <b:JournalName>Proceedings of the National Academy of Sciences of the United States of America</b:JournalName>
    <b:Year>2014</b:Year>
    <b:Volume>111</b:Volume>
    <b:Issue>10</b:Issue>
    <b:Pages>3699-3704</b:Pages>
    <b:RefOrder>42</b:RefOrder>
  </b:Source>
  <b:Source>
    <b:Tag>Ave12</b:Tag>
    <b:SourceType>JournalArticle</b:SourceType>
    <b:Guid>{30911425-7468-2244-8511-624F4F635A51}</b:Guid>
    <b:Author>
      <b:Author>
        <b:NameList>
          <b:Person>
            <b:Last>Avery</b:Last>
            <b:First>James</b:First>
            <b:Middle>M</b:Middle>
          </b:Person>
          <b:Person>
            <b:Last>Fine</b:Last>
            <b:First>Jeffrey</b:First>
            <b:Middle>A</b:Middle>
          </b:Person>
        </b:NameList>
      </b:Author>
    </b:Author>
    <b:Title>Context Matters: The Effect of Racial Composition of State Electorates on White Racial Attitudes</b:Title>
    <b:JournalName>American Review of Politics</b:JournalName>
    <b:Year>2012</b:Year>
    <b:Volume>33</b:Volume>
    <b:Pages>211-231</b:Pages>
    <b:RefOrder>43</b:RefOrder>
  </b:Source>
  <b:Source>
    <b:Tag>Boi06</b:Tag>
    <b:SourceType>JournalArticle</b:SourceType>
    <b:Guid>{D44A33C9-E895-514D-A803-13ADA782E779}</b:Guid>
    <b:Author>
      <b:Author>
        <b:NameList>
          <b:Person>
            <b:Last>Boisjoly</b:Last>
            <b:First>Johanne</b:First>
          </b:Person>
          <b:Person>
            <b:Last>Duncan</b:Last>
            <b:First>Greg</b:First>
            <b:Middle>J</b:Middle>
          </b:Person>
          <b:Person>
            <b:Last>Kremer</b:Last>
            <b:First>Michael</b:First>
          </b:Person>
          <b:Person>
            <b:Last>Levy</b:Last>
            <b:First>Dan</b:First>
            <b:Middle>M</b:Middle>
          </b:Person>
          <b:Person>
            <b:Last>Eccles</b:Last>
            <b:First>Jacque</b:First>
          </b:Person>
        </b:NameList>
      </b:Author>
    </b:Author>
    <b:Title>Empathy or Antipathy? The Impact of Diversity</b:Title>
    <b:JournalName>American Economic Review</b:JournalName>
    <b:Year>2006</b:Year>
    <b:Volume>96</b:Volume>
    <b:Issue>5</b:Issue>
    <b:Pages>1890-1905</b:Pages>
    <b:RefOrder>44</b:RefOrder>
  </b:Source>
  <b:Source>
    <b:Tag>Sho08</b:Tag>
    <b:SourceType>JournalArticle</b:SourceType>
    <b:Guid>{BDEC945F-FEA8-1349-9C1A-00A0818BD758}</b:Guid>
    <b:Author>
      <b:Author>
        <b:NameList>
          <b:Person>
            <b:Last>Shook</b:Last>
            <b:First>Natalie</b:First>
            <b:Middle>J</b:Middle>
          </b:Person>
          <b:Person>
            <b:Last>Fazio</b:Last>
            <b:First>Russel</b:First>
            <b:Middle>H</b:Middle>
          </b:Person>
        </b:NameList>
      </b:Author>
    </b:Author>
    <b:Title>Interracial Roommate Relationships: An Experimental Field Test of the Contact Hypothesis</b:Title>
    <b:JournalName>Psychological Science</b:JournalName>
    <b:Year>2008</b:Year>
    <b:Volume>19</b:Volume>
    <b:Issue>7</b:Issue>
    <b:Pages>717-723</b:Pages>
    <b:RefOrder>45</b:RefOrder>
  </b:Source>
  <b:Source>
    <b:Tag>Mar121</b:Tag>
    <b:SourceType>Report</b:SourceType>
    <b:Guid>{B9AEBB40-0DEB-8044-92ED-29192E791CB9}</b:Guid>
    <b:Title>What Determines Attitudes to Immigration in European Countries? An Analysis at the Regional Level</b:Title>
    <b:Year>2012</b:Year>
    <b:Author>
      <b:Author>
        <b:NameList>
          <b:Person>
            <b:Last>Markaki</b:Last>
            <b:First>Yvonni</b:First>
          </b:Person>
          <b:Person>
            <b:Last>Longhi</b:Last>
            <b:First>Simonetta</b:First>
          </b:Person>
        </b:NameList>
      </b:Author>
    </b:Author>
    <b:Institution>University of Essex  </b:Institution>
    <b:Department>Norface Migration</b:Department>
    <b:ThesisType>Discussion Paper No. 2012-32</b:ThesisType>
    <b:RefOrder>46</b:RefOrder>
  </b:Source>
  <b:Source>
    <b:Tag>Bar141</b:Tag>
    <b:SourceType>Report</b:SourceType>
    <b:Guid>{D5431E7F-DBE7-A74C-9D4E-44B8C09B4827}</b:Guid>
    <b:Author>
      <b:Author>
        <b:NameList>
          <b:Person>
            <b:Last>Barber</b:Last>
            <b:First>Michael</b:First>
          </b:Person>
          <b:Person>
            <b:Last>Imai</b:Last>
            <b:First>Kosuke</b:First>
          </b:Person>
        </b:NameList>
      </b:Author>
    </b:Author>
    <b:Title>Estimating Neighborhood Effects on Turnout from Geocoded Voter Registration Records</b:Title>
    <b:Year>2014</b:Year>
    <b:Institution>Princeton University</b:Institution>
    <b:Department>Department of Politics</b:Department>
    <b:ThesisType>Unpublished Manuscript</b:ThesisType>
    <b:RefOrder>47</b:RefOrder>
  </b:Source>
  <b:Source>
    <b:Tag>Dahng</b:Tag>
    <b:SourceType>Report</b:SourceType>
    <b:Guid>{0E2AF3D6-48EA-3640-B8D2-410177253734}</b:Guid>
    <b:Author>
      <b:Author>
        <b:NameList>
          <b:Person>
            <b:Last>Dahlberg</b:Last>
            <b:First>Matz</b:First>
          </b:Person>
          <b:Person>
            <b:Last>Edmark</b:Last>
            <b:First>Karin</b:First>
          </b:Person>
          <b:Person>
            <b:Last>Lundquist</b:Last>
            <b:First>Heléne</b:First>
          </b:Person>
        </b:NameList>
      </b:Author>
    </b:Author>
    <b:Title>Comments on “Comment on Dahlberg, Edmark and Lundqvist (2012)”</b:Title>
    <b:Institution>Stockholm University</b:Institution>
    <b:ThesisType>Unpublished manuscript</b:ThesisType>
    <b:Year>forthcoming</b:Year>
    <b:RefOrder>48</b:RefOrder>
  </b:Source>
  <b:Source>
    <b:Tag>Mat63</b:Tag>
    <b:SourceType>JournalArticle</b:SourceType>
    <b:Guid>{69CE5BEE-C954-AA4E-81C4-6A64DA434EDD}</b:Guid>
    <b:Title>Social and Economic Factors and Negro Voter Registration in the South</b:Title>
    <b:Year>1963</b:Year>
    <b:Pages>24-44</b:Pages>
    <b:Author>
      <b:Author>
        <b:NameList>
          <b:Person>
            <b:Last>Matthews</b:Last>
            <b:First>Donald</b:First>
            <b:Middle>R</b:Middle>
          </b:Person>
          <b:Person>
            <b:Last>Prothro</b:Last>
            <b:First>James</b:First>
            <b:Middle>W</b:Middle>
          </b:Person>
        </b:NameList>
      </b:Author>
    </b:Author>
    <b:JournalName>American Political Science Review</b:JournalName>
    <b:Volume>57</b:Volume>
    <b:Issue>1</b:Issue>
    <b:RefOrder>49</b:RefOrder>
  </b:Source>
  <b:Source>
    <b:Tag>Fie08</b:Tag>
    <b:SourceType>JournalArticle</b:SourceType>
    <b:Guid>{466B5C06-4021-3647-A343-56CFC441F9E6}</b:Guid>
    <b:Author>
      <b:Author>
        <b:NameList>
          <b:Person>
            <b:Last>Fieldhouse</b:Last>
            <b:First>Edward</b:First>
          </b:Person>
          <b:Person>
            <b:Last>Cutts</b:Last>
            <b:First>David</b:First>
          </b:Person>
        </b:NameList>
      </b:Author>
    </b:Author>
    <b:Title>Diversity, Density and Turnout: The Effect of Neighbourhood Ethno-religious Composition on Voter Turnout in Britain</b:Title>
    <b:JournalName>Political Geography</b:JournalName>
    <b:Year>2008</b:Year>
    <b:Volume>27</b:Volume>
    <b:Issue>5</b:Issue>
    <b:Pages>530-548</b:Pages>
    <b:RefOrder>50</b:RefOrder>
  </b:Source>
  <b:Source>
    <b:Tag>Sch98</b:Tag>
    <b:SourceType>JournalArticle</b:SourceType>
    <b:Guid>{0937739F-3D00-6E4C-ADFD-34A06D76C6F8}</b:Guid>
    <b:Author>
      <b:Author>
        <b:NameList>
          <b:Person>
            <b:Last>Schlichting</b:Last>
            <b:First>Kurt</b:First>
          </b:Person>
          <b:Person>
            <b:Last>Tuckel</b:Last>
            <b:First>Peter</b:First>
          </b:Person>
          <b:Person>
            <b:Last>Maisel</b:Last>
            <b:First>Richard</b:First>
          </b:Person>
        </b:NameList>
      </b:Author>
    </b:Author>
    <b:Title>Racial Segregation and Voter Turnout in Urban America</b:Title>
    <b:JournalName>American Politics Research</b:JournalName>
    <b:Year>1998</b:Year>
    <b:Volume>26</b:Volume>
    <b:Issue>2</b:Issue>
    <b:Pages>218-236</b:Pages>
    <b:RefOrder>51</b:RefOrder>
  </b:Source>
  <b:Source>
    <b:Tag>Vos01</b:Tag>
    <b:SourceType>JournalArticle</b:SourceType>
    <b:Guid>{A33F4B29-1149-FA43-A5FB-6744047DD28F}</b:Guid>
    <b:Author>
      <b:Author>
        <b:NameList>
          <b:Person>
            <b:Last>Voss</b:Last>
            <b:First>Stephen</b:First>
          </b:Person>
          <b:Person>
            <b:Last>Miller</b:Last>
            <b:First>Penny</b:First>
          </b:Person>
        </b:NameList>
      </b:Author>
    </b:Author>
    <b:Title>Following a False Trail: The Hunt for White Backlash in Kentucky's 1996 Desegregation Vote</b:Title>
    <b:JournalName>State Politics &amp; Policy Quarterly</b:JournalName>
    <b:Year>2001</b:Year>
    <b:Volume>1</b:Volume>
    <b:Issue>1</b:Issue>
    <b:Pages>62-80</b:Pages>
    <b:RefOrder>52</b:RefOrder>
  </b:Source>
  <b:Source>
    <b:Tag>Bla131</b:Tag>
    <b:SourceType>JournalArticle</b:SourceType>
    <b:Guid>{8F1E3B87-C363-B146-8C5C-D6008A6103A2}</b:Guid>
    <b:Author>
      <b:Author>
        <b:NameList>
          <b:Person>
            <b:Last>Blais</b:Last>
            <b:First>André</b:First>
          </b:Person>
          <b:Person>
            <b:Last>Rubenson</b:Last>
            <b:First>Daniel</b:First>
          </b:Person>
        </b:NameList>
      </b:Author>
    </b:Author>
    <b:Title>The Source of Turnout Decline: New Values or New Contexts?</b:Title>
    <b:JournalName>Comparative Political Studies</b:JournalName>
    <b:Year>2013</b:Year>
    <b:Volume>46</b:Volume>
    <b:Issue>1</b:Issue>
    <b:Pages>95-117</b:Pages>
    <b:RefOrder>53</b:RefOrder>
  </b:Source>
  <b:Source>
    <b:Tag>Fol14</b:Tag>
    <b:SourceType>JournalArticle</b:SourceType>
    <b:Guid>{47622584-A1FD-4241-8EBA-BDFBF1324AD1}</b:Guid>
    <b:Author>
      <b:Author>
        <b:NameList>
          <b:Person>
            <b:Last>Folke</b:Last>
            <b:First>Olle</b:First>
          </b:Person>
        </b:NameList>
      </b:Author>
    </b:Author>
    <b:Title>Shades of Brown and Green: Party Effects in Proportional Election Systems</b:Title>
    <b:JournalName>Journal of the European Economic Association</b:JournalName>
    <b:Year>2014</b:Year>
    <b:Volume>13</b:Volume>
    <b:Issue>5</b:Issue>
    <b:Pages>1361-1395</b:Pages>
    <b:RefOrder>54</b:RefOrder>
  </b:Source>
  <b:Source>
    <b:Tag>Sti13</b:Tag>
    <b:SourceType>JournalArticle</b:SourceType>
    <b:Guid>{4858BC89-71A1-EA4E-9EFB-1AEB7C56E8B8}</b:Guid>
    <b:Author>
      <b:Author>
        <b:NameList>
          <b:Person>
            <b:Last>Stichnoth</b:Last>
            <b:First>Holger</b:First>
          </b:Person>
          <b:Person>
            <b:Last>Van der Straeten</b:Last>
            <b:First>Karine</b:First>
          </b:Person>
        </b:NameList>
      </b:Author>
    </b:Author>
    <b:Title>Ethnic Diversity, Public Spending, and Individual Support for the Welfare State: A Review of the Empirical Literature</b:Title>
    <b:JournalName>Journal of Economic Surveys</b:JournalName>
    <b:Year>2013</b:Year>
    <b:Volume>27</b:Volume>
    <b:Issue>2</b:Issue>
    <b:Pages>364-389</b:Pages>
    <b:RefOrder>55</b:RefOrder>
  </b:Source>
  <b:Source>
    <b:Tag>Eno09</b:Tag>
    <b:SourceType>Report</b:SourceType>
    <b:Guid>{1FD09430-F891-2845-8753-F6853EFFB8E2}</b:Guid>
    <b:Title>The Effect of Proximity to African-Americans on Latino Vote Choice in the 2008 Presidential Primary in Los Angeles</b:Title>
    <b:Year>2009</b:Year>
    <b:Author>
      <b:Author>
        <b:NameList>
          <b:Person>
            <b:Last>Enos</b:Last>
            <b:First>Ryan</b:First>
            <b:Middle>D</b:Middle>
          </b:Person>
        </b:NameList>
      </b:Author>
    </b:Author>
    <b:Institution>University of California, Los Angeles</b:Institution>
    <b:Department>Department of Political Science</b:Department>
    <b:ThesisType>Unpublished Manuscript</b:ThesisType>
    <b:RefOrder>56</b:RefOrder>
  </b:Source>
  <b:Source>
    <b:Tag>Roc08</b:Tag>
    <b:SourceType>JournalArticle</b:SourceType>
    <b:Guid>{724C4A13-0A95-2048-B919-86D94D5C666D}</b:Guid>
    <b:Author>
      <b:Author>
        <b:NameList>
          <b:Person>
            <b:Last>Roch</b:Last>
            <b:First>Christine</b:First>
            <b:Middle>H</b:Middle>
          </b:Person>
          <b:Person>
            <b:Last>Rushton</b:Last>
            <b:First>Michael</b:First>
          </b:Person>
        </b:NameList>
      </b:Author>
    </b:Author>
    <b:Title>Racial Context and Voting over Taxes Evidence from a Referendum in Alabama</b:Title>
    <b:Year>2008</b:Year>
    <b:Pages>614-634</b:Pages>
    <b:Volume>36</b:Volume>
    <b:Issue>5</b:Issue>
    <b:JournalName>Public Finance Review</b:JournalName>
    <b:RefOrder>57</b:RefOrder>
  </b:Source>
  <b:Source>
    <b:Tag>Key49</b:Tag>
    <b:SourceType>Book</b:SourceType>
    <b:Guid>{EE1C4B52-20FB-BD40-82F6-99FCB38CEE4C}</b:Guid>
    <b:Title>Southern Politics in State and Nation</b:Title>
    <b:Publisher>Alfred A. Knopf</b:Publisher>
    <b:City>New York</b:City>
    <b:Year>1949</b:Year>
    <b:Author>
      <b:Author>
        <b:NameList>
          <b:Person>
            <b:Last>Key</b:Last>
            <b:First>V.O</b:First>
          </b:Person>
        </b:NameList>
      </b:Author>
    </b:Author>
    <b:RefOrder>58</b:RefOrder>
  </b:Source>
  <b:Source>
    <b:Tag>All54</b:Tag>
    <b:SourceType>Book</b:SourceType>
    <b:Guid>{C47FDEAB-B7B2-F74B-9F86-9067B6BCFDDD}</b:Guid>
    <b:Author>
      <b:Author>
        <b:NameList>
          <b:Person>
            <b:Last>Allport</b:Last>
            <b:First>Gordon</b:First>
            <b:Middle>W</b:Middle>
          </b:Person>
        </b:NameList>
      </b:Author>
    </b:Author>
    <b:Title>The Nature of Prejudice</b:Title>
    <b:City>Cambridge</b:City>
    <b:StateProvince>MA</b:StateProvince>
    <b:Publisher>Perseus Books</b:Publisher>
    <b:Year>1954</b:Year>
    <b:RefOrder>59</b:RefOrder>
  </b:Source>
  <b:Source>
    <b:Tag>Zin14</b:Tag>
    <b:SourceType>JournalArticle</b:SourceType>
    <b:Guid>{0DF9A7F5-79EE-444A-AAFD-34262F5BE9D3}</b:Guid>
    <b:Title>The Spatial and Demographic Determinants of Racial Threat</b:Title>
    <b:Year>2014</b:Year>
    <b:Volume>95</b:Volume>
    <b:Pages>1137-1154</b:Pages>
    <b:Author>
      <b:Author>
        <b:NameList>
          <b:Person>
            <b:Last>Zingher</b:Last>
            <b:First>Joshua</b:First>
            <b:Middle>N</b:Middle>
          </b:Person>
          <b:Person>
            <b:Last>Steen Thomas</b:Last>
            <b:First>M</b:First>
          </b:Person>
        </b:NameList>
      </b:Author>
    </b:Author>
    <b:JournalName>Social Science Quarterly</b:JournalName>
    <b:Issue>4</b:Issue>
    <b:RefOrder>60</b:RefOrder>
  </b:Source>
  <b:Source>
    <b:Tag>Rui15</b:Tag>
    <b:SourceType>Report</b:SourceType>
    <b:Guid>{7F455597-FBDB-F243-AAED-7CCDEB54D373}</b:Guid>
    <b:Author>
      <b:Author>
        <b:NameList>
          <b:Person>
            <b:Last>Ruist</b:Last>
            <b:First>Joakim</b:First>
          </b:Person>
        </b:NameList>
      </b:Author>
    </b:Author>
    <b:Title>Refugee Immigration and Public Finances in Sweden  </b:Title>
    <b:Year>2015</b:Year>
    <b:Institution>University of Gothenburg</b:Institution>
    <b:Department>Department of Economics</b:Department>
    <b:ThesisType>Working Paper No. 613</b:ThesisType>
    <b:RefOrder>61</b:RefOrder>
  </b:Source>
  <b:Source>
    <b:Tag>Ald14</b:Tag>
    <b:SourceType>Report</b:SourceType>
    <b:Guid>{EC4CD3F8-3BCD-AD48-B310-C430C4841366}</b:Guid>
    <b:Author>
      <b:Author>
        <b:NameList>
          <b:Person>
            <b:Last>Aldén</b:Last>
            <b:First>Lina</b:First>
          </b:Person>
          <b:Person>
            <b:Last>Hammarstedt</b:Last>
            <b:First>Mats</b:First>
          </b:Person>
        </b:NameList>
      </b:Author>
    </b:Author>
    <b:Title>Utrikes födda på den svenska arbetsmarknaden - en översikt och en internationell jämförelse</b:Title>
    <b:Institution>Linnaeus University</b:Institution>
    <b:Department>Centre for Labour Market and Discrimination Studies</b:Department>
    <b:City>Växjö</b:City>
    <b:ThesisType>Report 2014:5</b:ThesisType>
    <b:Year>2014</b:Year>
    <b:RefOrder>62</b:RefOrder>
  </b:Source>
  <b:Source>
    <b:Tag>Edi03</b:Tag>
    <b:SourceType>JournalArticle</b:SourceType>
    <b:Guid>{ABBF3D81-A37A-7448-98DF-5D836CC6BA15}</b:Guid>
    <b:Author>
      <b:Author>
        <b:NameList>
          <b:Person>
            <b:Last>Edin</b:Last>
            <b:First>Per-Anders</b:First>
          </b:Person>
          <b:Person>
            <b:Last>Fredriksson</b:Last>
            <b:First>Peter</b:First>
          </b:Person>
          <b:Person>
            <b:Last>Åslund</b:Last>
            <b:First>Olof</b:First>
          </b:Person>
        </b:NameList>
      </b:Author>
    </b:Author>
    <b:Title>Ethnic Enclaves and the Economic Success of Immigrants: Evidence from a Natural Experiment</b:Title>
    <b:Year>2003</b:Year>
    <b:Pages>329-357</b:Pages>
    <b:JournalName>Quarterly Journal of Economics</b:JournalName>
    <b:Volume>118</b:Volume>
    <b:Issue>1</b:Issue>
    <b:RefOrder>63</b:RefOrder>
  </b:Source>
  <b:Source>
    <b:Tag>Ang09</b:Tag>
    <b:SourceType>Book</b:SourceType>
    <b:Guid>{F2B20BCC-E357-9C45-905E-5F5406031102}</b:Guid>
    <b:Title>Mostly Harmless Econometrics: An Empiricist's Companion</b:Title>
    <b:Publisher>Princeton University Press</b:Publisher>
    <b:City>Princeton</b:City>
    <b:Year>2009</b:Year>
    <b:CountryRegion>NJ</b:CountryRegion>
    <b:Author>
      <b:Author>
        <b:NameList>
          <b:Person>
            <b:Last>Angrist</b:Last>
            <b:First>Joshua</b:First>
            <b:Middle>A</b:Middle>
          </b:Person>
          <b:Person>
            <b:Last>Pischke</b:Last>
            <b:First>Jörn-Steffen</b:First>
          </b:Person>
        </b:NameList>
      </b:Author>
    </b:Author>
    <b:RefOrder>64</b:RefOrder>
  </b:Source>
  <b:Source>
    <b:Tag>Lun99</b:Tag>
    <b:SourceType>Book</b:SourceType>
    <b:Guid>{E46BB172-2303-A54A-9A40-AF9BE5CADF6C}</b:Guid>
    <b:Author>
      <b:Author>
        <b:NameList>
          <b:Person>
            <b:Last>Lundh</b:Last>
            <b:First>Christer</b:First>
          </b:Person>
          <b:Person>
            <b:Last>Ohlsson</b:Last>
            <b:First>Rolf</b:First>
          </b:Person>
        </b:NameList>
      </b:Author>
    </b:Author>
    <b:Title>Från arbetskraftsimport till flyktinginvandring</b:Title>
    <b:Publisher>Studieförbundet Näringsliv och Samhälle</b:Publisher>
    <b:City>Stockholm</b:City>
    <b:Year>1999</b:Year>
    <b:Volume>2</b:Volume>
    <b:RefOrder>65</b:RefOrder>
  </b:Source>
  <b:Source>
    <b:Tag>OEC101</b:Tag>
    <b:SourceType>Book</b:SourceType>
    <b:Guid>{87395F69-9494-E345-8274-12AB4EDD5771}</b:Guid>
    <b:Title>International Migration Outlook</b:Title>
    <b:City>Paris</b:City>
    <b:Publisher>OECD</b:Publisher>
    <b:Year>2010</b:Year>
    <b:Author>
      <b:Author>
        <b:Corporate>OECD</b:Corporate>
      </b:Author>
    </b:Author>
    <b:RefOrder>66</b:RefOrder>
  </b:Source>
  <b:Source>
    <b:Tag>Nil04</b:Tag>
    <b:SourceType>Report</b:SourceType>
    <b:Guid>{52C4E0CA-CC79-EC48-BC86-3EE903FE5231}</b:Guid>
    <b:Title>Efterkrigstidens invandring och utvandring</b:Title>
    <b:City>Stockholm</b:City>
    <b:Year>2004</b:Year>
    <b:Author>
      <b:Author>
        <b:NameList>
          <b:Person>
            <b:Last>Nilsson</b:Last>
            <b:First>Åke</b:First>
          </b:Person>
        </b:NameList>
      </b:Author>
    </b:Author>
    <b:Institution>Statistics Sweden</b:Institution>
    <b:ThesisType>Demographic Reports 2004:5</b:ThesisType>
    <b:RefOrder>67</b:RefOrder>
  </b:Source>
  <b:Source>
    <b:Tag>Edm08</b:Tag>
    <b:SourceType>JournalArticle</b:SourceType>
    <b:Guid>{6E8FD98E-6983-9742-9228-CA96551B8667}</b:Guid>
    <b:Author>
      <b:Author>
        <b:NameList>
          <b:Person>
            <b:Last>Dahlberg</b:Last>
            <b:First>Matz</b:First>
          </b:Person>
          <b:Person>
            <b:Last>Edmark</b:Last>
            <b:First>Karin</b:First>
          </b:Person>
        </b:NameList>
      </b:Author>
    </b:Author>
    <b:Title>Is There a 'Race-to-the-Bottom' in the Setting of Welfare Benefit Levels? Evidence from a Policy Intervention</b:Title>
    <b:Year>2008</b:Year>
    <b:Pages>1193-1209</b:Pages>
    <b:JournalName>Journal of Public Economics</b:JournalName>
    <b:Volume>92</b:Volume>
    <b:Issue>5-6</b:Issue>
    <b:RefOrder>68</b:RefOrder>
  </b:Source>
  <b:Source>
    <b:Tag>Ben02</b:Tag>
    <b:SourceType>Report</b:SourceType>
    <b:Guid>{BAF7741B-991C-9143-9167-112A33948B7F}</b:Guid>
    <b:Title>Stat och kommun i makt(o)balans: En studie av flyktingmottagandet</b:Title>
    <b:Year>2002</b:Year>
    <b:Author>
      <b:Author>
        <b:NameList>
          <b:Person>
            <b:Last>Bengtsson</b:Last>
            <b:First>Marie</b:First>
          </b:Person>
        </b:NameList>
      </b:Author>
    </b:Author>
    <b:Institution>Lund University</b:Institution>
    <b:Department>Department of Political Science</b:Department>
    <b:ThesisType>PhD Dissertation</b:ThesisType>
    <b:RefOrder>69</b:RefOrder>
  </b:Source>
  <b:Source>
    <b:Tag>Eno10</b:Tag>
    <b:SourceType>Report</b:SourceType>
    <b:Guid>{6C704BC1-85BE-D042-8E1E-91F6481E6164}</b:Guid>
    <b:Author>
      <b:Author>
        <b:NameList>
          <b:Person>
            <b:Last>Enos</b:Last>
            <b:First>Ryan</b:First>
            <b:Middle>D</b:Middle>
          </b:Person>
        </b:NameList>
      </b:Author>
    </b:Author>
    <b:Title>The Persistence of Racial Threat: Evidence from the 2008 Election</b:Title>
    <b:Institution>Harvard University</b:Institution>
    <b:Department>Department of Government</b:Department>
    <b:City>Cambridge, MA</b:City>
    <b:ThesisType>Unpublished Manuscript</b:ThesisType>
    <b:Year>2010</b:Year>
    <b:RefOrder>70</b:RefOrder>
  </b:Source>
  <b:Source>
    <b:Tag>Eno12</b:Tag>
    <b:SourceType>Report</b:SourceType>
    <b:Guid>{7A11F824-076D-EA4A-A24D-5E32ECCB6EBF}</b:Guid>
    <b:Author>
      <b:Author>
        <b:NameList>
          <b:Person>
            <b:Last>Enos</b:Last>
            <b:First>Ryan</b:First>
            <b:Middle>D</b:Middle>
          </b:Person>
        </b:NameList>
      </b:Author>
    </b:Author>
    <b:Title>Testing the Elusive: A Field Experiment on Racial Threat</b:Title>
    <b:Institution>Harvard University</b:Institution>
    <b:Department>Department of Government</b:Department>
    <b:City>Cambridge, MA</b:City>
    <b:ThesisType>Unpublished Manuscript</b:ThesisType>
    <b:Year>2012</b:Year>
    <b:RefOrder>71</b:RefOrder>
  </b:Source>
  <b:Source>
    <b:Tag>Van05</b:Tag>
    <b:SourceType>JournalArticle</b:SourceType>
    <b:Guid>{94554AEF-5432-8445-9889-B1C0421C2282}</b:Guid>
    <b:Author>
      <b:Author>
        <b:NameList>
          <b:Person>
            <b:Last>Van Laar</b:Last>
            <b:First>Colette</b:First>
          </b:Person>
          <b:Person>
            <b:Last>Levin</b:Last>
            <b:First>Shana</b:First>
          </b:Person>
          <b:Person>
            <b:Last>Sinclair</b:Last>
            <b:First>Stacey</b:First>
          </b:Person>
          <b:Person>
            <b:Last>Sidanius</b:Last>
            <b:First>Jim</b:First>
          </b:Person>
        </b:NameList>
      </b:Author>
    </b:Author>
    <b:Title>The Effect of University Roommate Contact on Ethnic Attitudes and Behavior</b:Title>
    <b:JournalName>Journal of Experimental Social Psychology</b:JournalName>
    <b:Year>2005</b:Year>
    <b:Volume>41</b:Volume>
    <b:Pages>329-345</b:Pages>
    <b:RefOrder>72</b:RefOrder>
  </b:Source>
  <b:Source>
    <b:Tag>Car15</b:Tag>
    <b:SourceType>Report</b:SourceType>
    <b:Guid>{295F22D5-ACB2-A647-BCDB-73E827F5B337}</b:Guid>
    <b:Title>The Impact of Intergroup Contact on Racial Attitudes and Revealed Preferences</b:Title>
    <b:City>Cambridge, MA</b:City>
    <b:Year>2015</b:Year>
    <b:Author>
      <b:Author>
        <b:NameList>
          <b:Person>
            <b:Last>Carrell</b:Last>
            <b:First>Scott</b:First>
            <b:Middle>E</b:Middle>
          </b:Person>
          <b:Person>
            <b:Last>Hoekstra</b:Last>
            <b:First>Mark</b:First>
          </b:Person>
          <b:Person>
            <b:Last>West</b:Last>
            <b:First>James</b:First>
            <b:Middle>E</b:Middle>
          </b:Person>
        </b:NameList>
      </b:Author>
    </b:Author>
    <b:Institution>National Bureau of Economic Research</b:Institution>
    <b:ThesisType>NBER Working Paper No. 20940</b:ThesisType>
    <b:RefOrder>73</b:RefOrder>
  </b:Source>
  <b:Source>
    <b:Tag>Ole13</b:Tag>
    <b:SourceType>JournalArticle</b:SourceType>
    <b:Guid>{0509191F-055C-744E-A1B3-1AFDE7757637}</b:Guid>
    <b:Author>
      <b:Author>
        <b:NameList>
          <b:Person>
            <b:Last>Olea</b:Last>
            <b:First>José</b:First>
            <b:Middle>Luis Montiel</b:Middle>
          </b:Person>
          <b:Person>
            <b:Last>Pflueger</b:Last>
            <b:First>Carolin</b:First>
          </b:Person>
        </b:NameList>
      </b:Author>
    </b:Author>
    <b:Title>A Robust Test for Weak Instruments</b:Title>
    <b:JournalName>Journal of Business &amp; Economic Statistics</b:JournalName>
    <b:Year>2013</b:Year>
    <b:Volume>31</b:Volume>
    <b:Issue>3</b:Issue>
    <b:Pages>358-369</b:Pages>
    <b:RefOrder>74</b:RefOrder>
  </b:Source>
  <b:Source>
    <b:Tag>Bob96</b:Tag>
    <b:SourceType>JournalArticle</b:SourceType>
    <b:Guid>{E71249CA-8AE8-FD4F-9AD0-BE51DED2A0A2}</b:Guid>
    <b:Author>
      <b:Author>
        <b:NameList>
          <b:Person>
            <b:Last>Bobo</b:Last>
            <b:First>Lawrence</b:First>
          </b:Person>
          <b:Person>
            <b:Last>Hutchings</b:Last>
            <b:First>Vincent</b:First>
          </b:Person>
        </b:NameList>
      </b:Author>
    </b:Author>
    <b:Title>Perceptions of Racial Group Competition: Extending Blumers Theory of Group Position to a Multiracial Social Context</b:Title>
    <b:Year>1996</b:Year>
    <b:Volume>61</b:Volume>
    <b:Pages>951-972</b:Pages>
    <b:JournalName>American Sociological Review</b:JournalName>
    <b:Issue>6</b:Issue>
    <b:RefOrder>75</b:RefOrder>
  </b:Source>
  <b:Source>
    <b:Tag>Nek15</b:Tag>
    <b:SourceType>Report</b:SourceType>
    <b:Guid>{89F77C85-D3FE-F944-AF84-5B19C319B0AB}</b:Guid>
    <b:Title>Ethnic Diversity and Redistribution: A Comment</b:Title>
    <b:Year>forthcoming</b:Year>
    <b:Author>
      <b:Author>
        <b:NameList>
          <b:Person>
            <b:Last>Nekby</b:Last>
            <b:First>Lena</b:First>
          </b:Person>
          <b:Person>
            <b:Last>Petterson-Lidbom</b:Last>
            <b:First>Per</b:First>
          </b:Person>
        </b:NameList>
      </b:Author>
    </b:Author>
    <b:Institution>Stockholm University</b:Institution>
    <b:Department>Department of Economics</b:Department>
    <b:ThesisType>Unpublished manuscript</b:ThesisType>
    <b:RefOrder>76</b:RefOrder>
  </b:Source>
  <b:Source>
    <b:Tag>Arz08</b:Tag>
    <b:SourceType>JournalArticle</b:SourceType>
    <b:Guid>{94E0BEA2-6EC4-FF4E-A47E-1A2DEB0BE010}</b:Guid>
    <b:Title>Protest, Neo-Liberalism or Anti-Immigrant Sentiment: What Motivates the Voters of the Extreme Right in Western Europe?</b:Title>
    <b:Year>2008</b:Year>
    <b:Volume>2</b:Volume>
    <b:Pages>173-197</b:Pages>
    <b:Author>
      <b:Author>
        <b:NameList>
          <b:Person>
            <b:Last>Arzheimer</b:Last>
            <b:First>Kai</b:First>
          </b:Person>
        </b:NameList>
      </b:Author>
    </b:Author>
    <b:JournalName>Zeitschrift für Vergleichende Politikwissenschaft</b:JournalName>
    <b:Issue>2</b:Issue>
    <b:RefOrder>77</b:RefOrder>
  </b:Source>
  <b:Source>
    <b:Tag>Arz091</b:Tag>
    <b:SourceType>JournalArticle</b:SourceType>
    <b:Guid>{208F7277-E204-094C-BE26-3FAD8D9C9853}</b:Guid>
    <b:Author>
      <b:Author>
        <b:NameList>
          <b:Person>
            <b:Last>Arzheimer</b:Last>
            <b:First>Kai</b:First>
          </b:Person>
        </b:NameList>
      </b:Author>
    </b:Author>
    <b:Title>Contextual Factors and the Extreme Right Vote in Western Europe, 1980–2002</b:Title>
    <b:JournalName>American Journal of Political Science</b:JournalName>
    <b:Year>2009</b:Year>
    <b:Volume>53</b:Volume>
    <b:Issue>2</b:Issue>
    <b:Pages>259-275</b:Pages>
    <b:RefOrder>78</b:RefOrder>
  </b:Source>
  <b:Source>
    <b:Tag>Placeholder1</b:Tag>
    <b:SourceType>Report</b:SourceType>
    <b:Guid>{239E19F6-DF3E-C048-907A-CEA173AA9303}</b:Guid>
    <b:Author>
      <b:Author>
        <b:Corporate>SNES</b:Corporate>
      </b:Author>
    </b:Author>
    <b:Title>The Swedish National Election Studies Program</b:Title>
    <b:Institution>University of Gothenburg</b:Institution>
    <b:Department>Department of Political Science</b:Department>
    <b:Year>2015</b:Year>
    <b:RefOrder>79</b:RefOrder>
  </b:Source>
  <b:Source>
    <b:Tag>Sol13</b:Tag>
    <b:SourceType>Report</b:SourceType>
    <b:Guid>{5C65B161-D554-5F4A-A032-1755DAFCF3E2}</b:Guid>
    <b:Title>What Are We Weighting For?</b:Title>
    <b:City>Cambridge, MA</b:City>
    <b:Year>2013</b:Year>
    <b:Author>
      <b:Author>
        <b:NameList>
          <b:Person>
            <b:Last>Solon</b:Last>
            <b:First>Gary</b:First>
          </b:Person>
          <b:Person>
            <b:Last>Haider</b:Last>
            <b:First>Steven</b:First>
            <b:Middle>J</b:Middle>
          </b:Person>
          <b:Person>
            <b:Last>Wooldridge</b:Last>
            <b:First>Jeffrey</b:First>
          </b:Person>
        </b:NameList>
      </b:Author>
    </b:Author>
    <b:Institution>National Bureau of Economic Research</b:Institution>
    <b:ThesisType> NBER Working Paper No. 18859</b:ThesisType>
    <b:RefOrder>80</b:RefOrder>
  </b:Source>
  <b:Source>
    <b:Tag>Hor52</b:Tag>
    <b:SourceType>JournalArticle</b:SourceType>
    <b:Guid>{7A0C5F92-C291-1A4A-A3E1-B4B9AEA570E9}</b:Guid>
    <b:Title>A Generalization of Sampling Without Replacement From a Finite Universe</b:Title>
    <b:Year>1952</b:Year>
    <b:Pages>663-685</b:Pages>
    <b:Author>
      <b:Author>
        <b:NameList>
          <b:Person>
            <b:Last>Horvitz</b:Last>
            <b:First>D.</b:First>
            <b:Middle>G.</b:Middle>
          </b:Person>
          <b:Person>
            <b:Last>Thompson</b:Last>
            <b:First>D.</b:First>
            <b:Middle>J.</b:Middle>
          </b:Person>
        </b:NameList>
      </b:Author>
    </b:Author>
    <b:JournalName>Journal of the American Statistical Association</b:JournalName>
    <b:Volume>47</b:Volume>
    <b:Issue>260</b:Issue>
    <b:RefOrder>81</b:RefOrder>
  </b:Source>
  <b:Source>
    <b:Tag>SCB15</b:Tag>
    <b:SourceType>Report</b:SourceType>
    <b:Guid>{A07EF0B6-3059-E549-A16D-A76463DF7CA3}</b:Guid>
    <b:Author>
      <b:Author>
        <b:Corporate>SCB</b:Corporate>
      </b:Author>
    </b:Author>
    <b:Title>Summary of Population Statistics 1960-2014</b:Title>
    <b:City>Stockholm</b:City>
    <b:Year>2015</b:Year>
    <b:Comments>http://www.scb.se/en_/Finding-statistics/Statistics-by-subject-area/Population/Population-composition/Population-statistics/Aktuell-Pong/25795/Yearly-statistics--The-whole-country/26040/</b:Comments>
    <b:Institution>Statistics Sweden</b:Institution>
    <b:RefOrder>82</b:RefOrder>
  </b:Source>
  <b:Source>
    <b:Tag>Jof11</b:Tag>
    <b:SourceType>Report</b:SourceType>
    <b:Guid>{DA17B2A5-D215-454F-BCEF-88407FCC1454}</b:Guid>
    <b:Author>
      <b:Author>
        <b:NameList>
          <b:Person>
            <b:Last>Jofre-Monseny</b:Last>
            <b:First>Jordi</b:First>
          </b:Person>
          <b:Person>
            <b:Last>Sorribas-Navarro</b:Last>
            <b:First>Pilar</b:First>
          </b:Person>
          <b:Person>
            <b:Last>Vázquez-Grenno</b:Last>
            <b:First>Javier</b:First>
          </b:Person>
        </b:NameList>
      </b:Author>
    </b:Author>
    <b:Title>Welfare Spending and Ethnic Hetereogeneity: Evidence from a Massive Immigration Wave</b:Title>
    <b:Year>2011</b:Year>
    <b:Institution>IEB - Institute d'Economia de Barcelona</b:Institution>
    <b:ThesisType>Working Paper 2011/34</b:ThesisType>
    <b:RefOrder>83</b:RefOrder>
  </b:Source>
  <b:Source xmlns:b="http://schemas.openxmlformats.org/officeDocument/2006/bibliography">
    <b:Tag>Hop10</b:Tag>
    <b:SourceType>JournalArticle</b:SourceType>
    <b:Guid>{BD852BDB-D04F-4642-B9E7-622D69416A72}</b:Guid>
    <b:Author>
      <b:Author>
        <b:NameList>
          <b:Person>
            <b:Last>Hopkins</b:Last>
            <b:First>Daniel</b:First>
            <b:Middle>J</b:Middle>
          </b:Person>
        </b:NameList>
      </b:Author>
    </b:Author>
    <b:Title>Politicized Places: Explaining Where and When Immigrants Provoke Local Opposition</b:Title>
    <b:Year>2010</b:Year>
    <b:Volume>104</b:Volume>
    <b:Pages>40-60</b:Pages>
    <b:JournalName>American Political Science Review</b:JournalName>
    <b:RefOrder>85</b:RefOrder>
  </b:Source>
  <b:Source>
    <b:Tag>Men141</b:Tag>
    <b:SourceType>JournalArticle</b:SourceType>
    <b:Guid>{E471E7D6-939D-EB4E-8D52-8B2C1E9D41D4}</b:Guid>
    <b:Author>
      <b:Author>
        <b:NameList>
          <b:Person>
            <b:Last>Mendez</b:Last>
            <b:First>Ildefonso</b:First>
          </b:Person>
          <b:Person>
            <b:Last>Cutillas</b:Last>
            <b:First>Isabel</b:First>
            <b:Middle>M</b:Middle>
          </b:Person>
        </b:NameList>
      </b:Author>
    </b:Author>
    <b:Title>Has Immigration Affected Spanish Presidential Election Results?</b:Title>
    <b:Year>2014</b:Year>
    <b:Pages>135-171</b:Pages>
    <b:JournalName>Journal of Population Economics</b:JournalName>
    <b:Volume>27</b:Volume>
    <b:RefOrder>86</b:RefOrder>
  </b:Source>
  <b:Source>
    <b:Tag>Imb091</b:Tag>
    <b:SourceType>JournalArticle</b:SourceType>
    <b:Guid>{F7089B96-62B0-6845-B78F-11782A68C9F0}</b:Guid>
    <b:Author>
      <b:Author>
        <b:NameList>
          <b:Person>
            <b:Last>Imbens</b:Last>
            <b:First>Guido</b:First>
            <b:Middle>W</b:Middle>
          </b:Person>
          <b:Person>
            <b:Last>Wooldridge</b:Last>
            <b:First>Jeffrey</b:First>
            <b:Middle>M</b:Middle>
          </b:Person>
        </b:NameList>
      </b:Author>
    </b:Author>
    <b:Title>Recent Developments in the Econometrics of Program Evaluation</b:Title>
    <b:JournalName>Journal of Economic Literature</b:JournalName>
    <b:Year>2009</b:Year>
    <b:Volume>47</b:Volume>
    <b:Issue>1</b:Issue>
    <b:Pages>5-86</b:Pages>
    <b:RefOrder>87</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86e7fa43-c359-43d9-8458-737144af5f10" xsi:nil="true"/>
    <lcf76f155ced4ddcb4097134ff3c332f xmlns="42728837-3024-4282-83e6-d665429789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930FBC-C660-401C-A5FD-F9C470FBA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7fa43-c359-43d9-8458-737144af5f10"/>
    <ds:schemaRef ds:uri="42728837-3024-4282-83e6-d66542978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CC274-C566-4ADE-8890-AA73F584F8A7}">
  <ds:schemaRefs>
    <ds:schemaRef ds:uri="http://schemas.microsoft.com/sharepoint/v3/contenttype/forms"/>
  </ds:schemaRefs>
</ds:datastoreItem>
</file>

<file path=customXml/itemProps3.xml><?xml version="1.0" encoding="utf-8"?>
<ds:datastoreItem xmlns:ds="http://schemas.openxmlformats.org/officeDocument/2006/customXml" ds:itemID="{49FA05C9-B62D-0943-B228-860CBC709B3A}">
  <ds:schemaRefs>
    <ds:schemaRef ds:uri="http://schemas.openxmlformats.org/officeDocument/2006/bibliography"/>
  </ds:schemaRefs>
</ds:datastoreItem>
</file>

<file path=customXml/itemProps4.xml><?xml version="1.0" encoding="utf-8"?>
<ds:datastoreItem xmlns:ds="http://schemas.openxmlformats.org/officeDocument/2006/customXml" ds:itemID="{2C43EDD1-899D-46CB-9553-8150D10A2FC4}">
  <ds:schemaRefs>
    <ds:schemaRef ds:uri="http://schemas.microsoft.com/office/2006/metadata/properties"/>
    <ds:schemaRef ds:uri="http://schemas.microsoft.com/office/infopath/2007/PartnerControls"/>
    <ds:schemaRef ds:uri="86e7fa43-c359-43d9-8458-737144af5f10"/>
    <ds:schemaRef ds:uri="42728837-3024-4282-83e6-d6654297899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11621</Words>
  <Characters>61596</Characters>
  <Application>Microsoft Office Word</Application>
  <DocSecurity>4</DocSecurity>
  <Lines>513</Lines>
  <Paragraphs>146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2024-04-19T08:34:00Z</dcterms:created>
  <dcterms:modified xsi:type="dcterms:W3CDTF">2024-04-19T08:34:00Z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0x0101000483F85171476E44870AED830AD40327</vt:lpwstr>
  </property>
  <property fmtid="{D5CDD505-2E9C-101B-9397-08002B2CF9AE}" pid="3" name="MediaServiceImageTags">
    <vt:lpwstr/>
  </property>
</Properties>
</file>