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1" w:type="dxa"/>
        <w:tblInd w:w="-2603" w:type="dxa"/>
        <w:tblCellMar>
          <w:left w:w="10" w:type="dxa"/>
          <w:right w:w="10" w:type="dxa"/>
        </w:tblCellMar>
        <w:tblLook w:val="0000" w:firstRow="0" w:lastRow="0" w:firstColumn="0" w:lastColumn="0" w:noHBand="0" w:noVBand="0"/>
      </w:tblPr>
      <w:tblGrid>
        <w:gridCol w:w="2446"/>
        <w:gridCol w:w="3614"/>
        <w:gridCol w:w="1663"/>
        <w:gridCol w:w="1808"/>
      </w:tblGrid>
      <w:tr w:rsidR="009D4EC6" w:rsidRPr="00E53F0D" w14:paraId="6F2EAD85" w14:textId="77777777">
        <w:trPr>
          <w:trHeight w:val="142"/>
        </w:trPr>
        <w:tc>
          <w:tcPr>
            <w:tcW w:w="2446" w:type="dxa"/>
            <w:shd w:val="clear" w:color="auto" w:fill="auto"/>
            <w:tcMar>
              <w:top w:w="0" w:type="dxa"/>
              <w:left w:w="0" w:type="dxa"/>
              <w:bottom w:w="0" w:type="dxa"/>
              <w:right w:w="108" w:type="dxa"/>
            </w:tcMar>
          </w:tcPr>
          <w:p w14:paraId="7C9DA10B" w14:textId="7CAB1AB6" w:rsidR="009D4EC6" w:rsidRDefault="009D4EC6"/>
        </w:tc>
        <w:tc>
          <w:tcPr>
            <w:tcW w:w="3614" w:type="dxa"/>
            <w:shd w:val="clear" w:color="auto" w:fill="auto"/>
            <w:tcMar>
              <w:top w:w="0" w:type="dxa"/>
              <w:left w:w="0" w:type="dxa"/>
              <w:bottom w:w="0" w:type="dxa"/>
              <w:right w:w="108" w:type="dxa"/>
            </w:tcMar>
          </w:tcPr>
          <w:p w14:paraId="46382F09" w14:textId="77777777" w:rsidR="009D4EC6" w:rsidRPr="00E53F0D" w:rsidRDefault="00A07C3B">
            <w:pPr>
              <w:rPr>
                <w:rFonts w:ascii="Hyra Sans" w:hAnsi="Hyra Sans"/>
                <w:bCs/>
                <w:sz w:val="16"/>
                <w:szCs w:val="16"/>
              </w:rPr>
            </w:pPr>
            <w:r w:rsidRPr="00E53F0D">
              <w:rPr>
                <w:rFonts w:ascii="Hyra Sans" w:hAnsi="Hyra Sans"/>
                <w:bCs/>
                <w:sz w:val="16"/>
                <w:szCs w:val="16"/>
              </w:rPr>
              <w:t>Handläggare</w:t>
            </w:r>
          </w:p>
        </w:tc>
        <w:tc>
          <w:tcPr>
            <w:tcW w:w="1663" w:type="dxa"/>
            <w:shd w:val="clear" w:color="auto" w:fill="auto"/>
            <w:tcMar>
              <w:top w:w="0" w:type="dxa"/>
              <w:left w:w="0" w:type="dxa"/>
              <w:bottom w:w="0" w:type="dxa"/>
              <w:right w:w="108" w:type="dxa"/>
            </w:tcMar>
          </w:tcPr>
          <w:p w14:paraId="747158D6" w14:textId="79DF18C0" w:rsidR="009D4EC6" w:rsidRPr="00E53F0D" w:rsidRDefault="009D4EC6">
            <w:pPr>
              <w:rPr>
                <w:rFonts w:ascii="Hyra Sans" w:hAnsi="Hyra Sans"/>
                <w:bCs/>
                <w:sz w:val="15"/>
                <w:szCs w:val="15"/>
              </w:rPr>
            </w:pPr>
          </w:p>
        </w:tc>
        <w:tc>
          <w:tcPr>
            <w:tcW w:w="1808" w:type="dxa"/>
            <w:shd w:val="clear" w:color="auto" w:fill="auto"/>
            <w:tcMar>
              <w:top w:w="0" w:type="dxa"/>
              <w:left w:w="0" w:type="dxa"/>
              <w:bottom w:w="0" w:type="dxa"/>
              <w:right w:w="108" w:type="dxa"/>
            </w:tcMar>
          </w:tcPr>
          <w:p w14:paraId="3B6A1183" w14:textId="77777777" w:rsidR="009D4EC6" w:rsidRPr="00E53F0D" w:rsidRDefault="00A07C3B">
            <w:pPr>
              <w:rPr>
                <w:rFonts w:ascii="Hyra Sans" w:hAnsi="Hyra Sans"/>
                <w:bCs/>
                <w:sz w:val="16"/>
                <w:szCs w:val="16"/>
              </w:rPr>
            </w:pPr>
            <w:r w:rsidRPr="00E53F0D">
              <w:rPr>
                <w:rFonts w:ascii="Hyra Sans" w:hAnsi="Hyra Sans"/>
                <w:bCs/>
                <w:sz w:val="16"/>
                <w:szCs w:val="16"/>
              </w:rPr>
              <w:t>Datum</w:t>
            </w:r>
          </w:p>
        </w:tc>
      </w:tr>
      <w:tr w:rsidR="009D4EC6" w:rsidRPr="00E53F0D" w14:paraId="280B7AC7" w14:textId="77777777">
        <w:trPr>
          <w:trHeight w:val="142"/>
        </w:trPr>
        <w:tc>
          <w:tcPr>
            <w:tcW w:w="2446" w:type="dxa"/>
            <w:shd w:val="clear" w:color="auto" w:fill="auto"/>
            <w:tcMar>
              <w:top w:w="0" w:type="dxa"/>
              <w:left w:w="0" w:type="dxa"/>
              <w:bottom w:w="0" w:type="dxa"/>
              <w:right w:w="108" w:type="dxa"/>
            </w:tcMar>
          </w:tcPr>
          <w:p w14:paraId="6CC3CCD6" w14:textId="77777777" w:rsidR="009D4EC6" w:rsidRPr="00E53F0D" w:rsidRDefault="009D4EC6"/>
        </w:tc>
        <w:tc>
          <w:tcPr>
            <w:tcW w:w="3614" w:type="dxa"/>
            <w:shd w:val="clear" w:color="auto" w:fill="auto"/>
            <w:tcMar>
              <w:top w:w="0" w:type="dxa"/>
              <w:left w:w="0" w:type="dxa"/>
              <w:bottom w:w="0" w:type="dxa"/>
              <w:right w:w="108" w:type="dxa"/>
            </w:tcMar>
          </w:tcPr>
          <w:p w14:paraId="2E9621F5" w14:textId="2BEBE7DA" w:rsidR="009D4EC6" w:rsidRPr="00E53F0D" w:rsidRDefault="00E60024">
            <w:pPr>
              <w:rPr>
                <w:rFonts w:ascii="Hyra Sans Text" w:hAnsi="Hyra Sans Text"/>
                <w:sz w:val="16"/>
                <w:szCs w:val="16"/>
              </w:rPr>
            </w:pPr>
            <w:r>
              <w:rPr>
                <w:rFonts w:ascii="Hyra Sans Text" w:hAnsi="Hyra Sans Text"/>
                <w:sz w:val="16"/>
                <w:szCs w:val="16"/>
              </w:rPr>
              <w:t>XXXX</w:t>
            </w:r>
          </w:p>
        </w:tc>
        <w:tc>
          <w:tcPr>
            <w:tcW w:w="1663" w:type="dxa"/>
            <w:shd w:val="clear" w:color="auto" w:fill="auto"/>
            <w:tcMar>
              <w:top w:w="0" w:type="dxa"/>
              <w:left w:w="0" w:type="dxa"/>
              <w:bottom w:w="0" w:type="dxa"/>
              <w:right w:w="108" w:type="dxa"/>
            </w:tcMar>
          </w:tcPr>
          <w:p w14:paraId="50A1835A" w14:textId="7EC57602" w:rsidR="009D4EC6" w:rsidRPr="00E53F0D" w:rsidRDefault="009D4EC6">
            <w:pPr>
              <w:rPr>
                <w:sz w:val="22"/>
              </w:rPr>
            </w:pPr>
          </w:p>
        </w:tc>
        <w:tc>
          <w:tcPr>
            <w:tcW w:w="1808" w:type="dxa"/>
            <w:shd w:val="clear" w:color="auto" w:fill="auto"/>
            <w:tcMar>
              <w:top w:w="0" w:type="dxa"/>
              <w:left w:w="0" w:type="dxa"/>
              <w:bottom w:w="0" w:type="dxa"/>
              <w:right w:w="108" w:type="dxa"/>
            </w:tcMar>
          </w:tcPr>
          <w:p w14:paraId="5F38FB3F" w14:textId="0048850A" w:rsidR="009D4EC6" w:rsidRPr="00E53F0D" w:rsidRDefault="00C769C9">
            <w:pPr>
              <w:rPr>
                <w:rFonts w:ascii="Hyra Sans" w:hAnsi="Hyra Sans"/>
                <w:sz w:val="17"/>
                <w:szCs w:val="17"/>
              </w:rPr>
            </w:pPr>
            <w:r w:rsidRPr="00E53F0D">
              <w:rPr>
                <w:rStyle w:val="Platshllartext"/>
                <w:rFonts w:ascii="Hyra Sans" w:hAnsi="Hyra Sans"/>
                <w:color w:val="auto"/>
                <w:sz w:val="17"/>
                <w:szCs w:val="17"/>
              </w:rPr>
              <w:t>202</w:t>
            </w:r>
            <w:r w:rsidR="00207692">
              <w:rPr>
                <w:rStyle w:val="Platshllartext"/>
                <w:rFonts w:ascii="Hyra Sans" w:hAnsi="Hyra Sans"/>
                <w:color w:val="auto"/>
                <w:sz w:val="17"/>
                <w:szCs w:val="17"/>
              </w:rPr>
              <w:t>5</w:t>
            </w:r>
            <w:r w:rsidR="00207692">
              <w:rPr>
                <w:rStyle w:val="Platshllartext"/>
                <w:rFonts w:ascii="Hyra Sans" w:hAnsi="Hyra Sans"/>
                <w:sz w:val="17"/>
                <w:szCs w:val="17"/>
              </w:rPr>
              <w:t>-XX-XX</w:t>
            </w:r>
          </w:p>
        </w:tc>
      </w:tr>
      <w:tr w:rsidR="009D4EC6" w:rsidRPr="00E53F0D" w14:paraId="4963E6E4" w14:textId="77777777">
        <w:trPr>
          <w:trHeight w:val="567"/>
        </w:trPr>
        <w:tc>
          <w:tcPr>
            <w:tcW w:w="2446" w:type="dxa"/>
            <w:shd w:val="clear" w:color="auto" w:fill="auto"/>
            <w:tcMar>
              <w:top w:w="0" w:type="dxa"/>
              <w:left w:w="0" w:type="dxa"/>
              <w:bottom w:w="0" w:type="dxa"/>
              <w:right w:w="108" w:type="dxa"/>
            </w:tcMar>
          </w:tcPr>
          <w:p w14:paraId="5B71E46E" w14:textId="77777777" w:rsidR="009D4EC6" w:rsidRPr="00E53F0D" w:rsidRDefault="009D4EC6"/>
        </w:tc>
        <w:tc>
          <w:tcPr>
            <w:tcW w:w="3614" w:type="dxa"/>
            <w:shd w:val="clear" w:color="auto" w:fill="auto"/>
            <w:tcMar>
              <w:top w:w="0" w:type="dxa"/>
              <w:left w:w="0" w:type="dxa"/>
              <w:bottom w:w="0" w:type="dxa"/>
              <w:right w:w="108" w:type="dxa"/>
            </w:tcMar>
          </w:tcPr>
          <w:p w14:paraId="3B553C62" w14:textId="77777777" w:rsidR="009D4EC6" w:rsidRPr="00E53F0D" w:rsidRDefault="009D4EC6"/>
        </w:tc>
        <w:tc>
          <w:tcPr>
            <w:tcW w:w="1663" w:type="dxa"/>
            <w:shd w:val="clear" w:color="auto" w:fill="auto"/>
            <w:tcMar>
              <w:top w:w="0" w:type="dxa"/>
              <w:left w:w="0" w:type="dxa"/>
              <w:bottom w:w="0" w:type="dxa"/>
              <w:right w:w="108" w:type="dxa"/>
            </w:tcMar>
          </w:tcPr>
          <w:p w14:paraId="4FFA4F12" w14:textId="77777777" w:rsidR="009D4EC6" w:rsidRPr="00E53F0D" w:rsidRDefault="009D4EC6"/>
        </w:tc>
        <w:tc>
          <w:tcPr>
            <w:tcW w:w="1808" w:type="dxa"/>
            <w:shd w:val="clear" w:color="auto" w:fill="auto"/>
            <w:tcMar>
              <w:top w:w="0" w:type="dxa"/>
              <w:left w:w="0" w:type="dxa"/>
              <w:bottom w:w="0" w:type="dxa"/>
              <w:right w:w="108" w:type="dxa"/>
            </w:tcMar>
          </w:tcPr>
          <w:p w14:paraId="50B84CB7" w14:textId="77777777" w:rsidR="009D4EC6" w:rsidRPr="00E53F0D" w:rsidRDefault="009D4EC6"/>
        </w:tc>
      </w:tr>
    </w:tbl>
    <w:p w14:paraId="189D8D93" w14:textId="77777777" w:rsidR="009D4EC6" w:rsidRPr="00E53F0D" w:rsidRDefault="009D4EC6"/>
    <w:p w14:paraId="6F4D0496" w14:textId="77777777" w:rsidR="009D4EC6" w:rsidRPr="00E53F0D" w:rsidRDefault="009D4EC6"/>
    <w:p w14:paraId="78B5D391" w14:textId="77777777" w:rsidR="009D4EC6" w:rsidRPr="00E53F0D" w:rsidRDefault="009D4EC6"/>
    <w:p w14:paraId="72826339" w14:textId="540755E8" w:rsidR="009D4EC6" w:rsidRPr="00E53F0D" w:rsidRDefault="00207692" w:rsidP="00C62C85">
      <w:pPr>
        <w:pStyle w:val="Rubrik1"/>
        <w:spacing w:line="240" w:lineRule="auto"/>
        <w:rPr>
          <w:rStyle w:val="Platshllartext"/>
          <w:rFonts w:ascii="Hyra Sans Display" w:hAnsi="Hyra Sans Display"/>
          <w:b w:val="0"/>
          <w:color w:val="auto"/>
        </w:rPr>
      </w:pPr>
      <w:r>
        <w:rPr>
          <w:rStyle w:val="Platshllartext"/>
          <w:rFonts w:ascii="Hyra Sans Display" w:hAnsi="Hyra Sans Display"/>
          <w:b w:val="0"/>
          <w:color w:val="auto"/>
        </w:rPr>
        <w:t>F</w:t>
      </w:r>
      <w:r w:rsidR="00C769C9" w:rsidRPr="00E53F0D">
        <w:rPr>
          <w:rStyle w:val="Platshllartext"/>
          <w:rFonts w:ascii="Hyra Sans Display" w:hAnsi="Hyra Sans Display"/>
          <w:b w:val="0"/>
          <w:color w:val="auto"/>
        </w:rPr>
        <w:t>örhandling om årlig hyresjustering 202</w:t>
      </w:r>
      <w:r>
        <w:rPr>
          <w:rStyle w:val="Platshllartext"/>
          <w:rFonts w:ascii="Hyra Sans Display" w:hAnsi="Hyra Sans Display"/>
          <w:b w:val="0"/>
          <w:color w:val="auto"/>
        </w:rPr>
        <w:t>6</w:t>
      </w:r>
      <w:r w:rsidR="00C769C9" w:rsidRPr="00E53F0D">
        <w:rPr>
          <w:rStyle w:val="Platshllartext"/>
          <w:rFonts w:ascii="Hyra Sans Display" w:hAnsi="Hyra Sans Display"/>
          <w:b w:val="0"/>
          <w:color w:val="auto"/>
        </w:rPr>
        <w:t xml:space="preserve"> med Fastighetsägarna GFR</w:t>
      </w:r>
    </w:p>
    <w:p w14:paraId="4DDBC49D" w14:textId="01E1C470" w:rsidR="006E2393" w:rsidRPr="007F1C2C" w:rsidRDefault="002F4118" w:rsidP="006E2393">
      <w:p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sidRPr="00E53F0D">
        <w:rPr>
          <w:rFonts w:ascii="Hyra Sans Text" w:eastAsiaTheme="minorHAnsi" w:hAnsi="Hyra Sans Text" w:cstheme="minorBidi"/>
          <w:kern w:val="2"/>
          <w:sz w:val="20"/>
          <w:szCs w:val="20"/>
          <w14:ligatures w14:val="standardContextual"/>
        </w:rPr>
        <w:t xml:space="preserve">I detta underlag presenterar Hyresgästföreningens förhandlingsdelegation en ny position i de förhandlingar om årlig hyresjustering för </w:t>
      </w:r>
      <w:r w:rsidR="00207692">
        <w:rPr>
          <w:rFonts w:ascii="Hyra Sans Text" w:eastAsiaTheme="minorHAnsi" w:hAnsi="Hyra Sans Text" w:cstheme="minorBidi"/>
          <w:kern w:val="2"/>
          <w:sz w:val="20"/>
          <w:szCs w:val="20"/>
          <w14:ligatures w14:val="standardContextual"/>
        </w:rPr>
        <w:t>2026</w:t>
      </w:r>
      <w:r w:rsidRPr="00E53F0D">
        <w:rPr>
          <w:rFonts w:ascii="Hyra Sans Text" w:eastAsiaTheme="minorHAnsi" w:hAnsi="Hyra Sans Text" w:cstheme="minorBidi"/>
          <w:kern w:val="2"/>
          <w:sz w:val="20"/>
          <w:szCs w:val="20"/>
          <w14:ligatures w14:val="standardContextual"/>
        </w:rPr>
        <w:t xml:space="preserve"> som Fastighetsägarna GFR har påkallat.</w:t>
      </w:r>
      <w:r w:rsidR="006E2393">
        <w:rPr>
          <w:rFonts w:ascii="Hyra Sans Text" w:eastAsiaTheme="minorHAnsi" w:hAnsi="Hyra Sans Text" w:cstheme="minorBidi"/>
          <w:kern w:val="2"/>
          <w:sz w:val="20"/>
          <w:szCs w:val="20"/>
          <w14:ligatures w14:val="standardContextual"/>
        </w:rPr>
        <w:t xml:space="preserve"> </w:t>
      </w:r>
      <w:r w:rsidR="006E2393">
        <w:rPr>
          <w:rFonts w:ascii="Hyra Sans Text" w:eastAsiaTheme="minorHAnsi" w:hAnsi="Hyra Sans Text" w:cstheme="minorBidi"/>
          <w:kern w:val="2"/>
          <w:sz w:val="20"/>
          <w:szCs w:val="20"/>
          <w14:ligatures w14:val="standardContextual"/>
        </w:rPr>
        <w:t>Vår grundhållning</w:t>
      </w:r>
      <w:r w:rsidR="0035685C">
        <w:rPr>
          <w:rFonts w:ascii="Hyra Sans Text" w:eastAsiaTheme="minorHAnsi" w:hAnsi="Hyra Sans Text" w:cstheme="minorBidi"/>
          <w:kern w:val="2"/>
          <w:sz w:val="20"/>
          <w:szCs w:val="20"/>
          <w14:ligatures w14:val="standardContextual"/>
        </w:rPr>
        <w:t xml:space="preserve"> kvarstår dock. Den innebär a</w:t>
      </w:r>
      <w:r w:rsidR="006E2393">
        <w:rPr>
          <w:rFonts w:ascii="Hyra Sans Text" w:eastAsiaTheme="minorHAnsi" w:hAnsi="Hyra Sans Text" w:cstheme="minorBidi"/>
          <w:kern w:val="2"/>
          <w:sz w:val="20"/>
          <w:szCs w:val="20"/>
          <w14:ligatures w14:val="standardContextual"/>
        </w:rPr>
        <w:t>tt det inte finns ett motiv för att justera hyrorna – och att vårt motbud innebär oförändrade hyror –</w:t>
      </w:r>
      <w:r w:rsidR="0035685C">
        <w:rPr>
          <w:rFonts w:ascii="Hyra Sans Text" w:eastAsiaTheme="minorHAnsi" w:hAnsi="Hyra Sans Text" w:cstheme="minorBidi"/>
          <w:kern w:val="2"/>
          <w:sz w:val="20"/>
          <w:szCs w:val="20"/>
          <w14:ligatures w14:val="standardContextual"/>
        </w:rPr>
        <w:t xml:space="preserve"> innan </w:t>
      </w:r>
      <w:r w:rsidR="006E2393">
        <w:rPr>
          <w:rFonts w:ascii="Hyra Sans Text" w:eastAsiaTheme="minorHAnsi" w:hAnsi="Hyra Sans Text" w:cstheme="minorBidi"/>
          <w:kern w:val="2"/>
          <w:sz w:val="20"/>
          <w:szCs w:val="20"/>
          <w14:ligatures w14:val="standardContextual"/>
        </w:rPr>
        <w:t>det gemensamma förhandlingsunderlaget är publicerat.</w:t>
      </w:r>
    </w:p>
    <w:p w14:paraId="70AE5218" w14:textId="77777777" w:rsidR="007F3F53" w:rsidRDefault="00D97BEC" w:rsidP="0089359A">
      <w:p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Pr>
          <w:rFonts w:ascii="Hyra Sans Text" w:eastAsiaTheme="minorHAnsi" w:hAnsi="Hyra Sans Text" w:cstheme="minorBidi"/>
          <w:kern w:val="2"/>
          <w:sz w:val="20"/>
          <w:szCs w:val="20"/>
          <w14:ligatures w14:val="standardContextual"/>
        </w:rPr>
        <w:t>Efter de förhandlingstillfällen som har varit mellan parterna står det klart att det kommer vara svårt att nå en lokal överenskommelse om årlig hyreshöjning innan parternas gemensamma förhandlingsunderlag (vägledningen) finns färdigställd</w:t>
      </w:r>
      <w:r w:rsidR="0070422E">
        <w:rPr>
          <w:rFonts w:ascii="Hyra Sans Text" w:eastAsiaTheme="minorHAnsi" w:hAnsi="Hyra Sans Text" w:cstheme="minorBidi"/>
          <w:kern w:val="2"/>
          <w:sz w:val="20"/>
          <w:szCs w:val="20"/>
          <w14:ligatures w14:val="standardContextual"/>
        </w:rPr>
        <w:t xml:space="preserve">. </w:t>
      </w:r>
      <w:r w:rsidR="000D4A43">
        <w:rPr>
          <w:rFonts w:ascii="Hyra Sans Text" w:eastAsiaTheme="minorHAnsi" w:hAnsi="Hyra Sans Text" w:cstheme="minorBidi"/>
          <w:kern w:val="2"/>
          <w:sz w:val="20"/>
          <w:szCs w:val="20"/>
          <w14:ligatures w14:val="standardContextual"/>
        </w:rPr>
        <w:t xml:space="preserve">Även Hyresgästföreningen vill undvika retroaktiva hyreshöjningar. </w:t>
      </w:r>
    </w:p>
    <w:p w14:paraId="0D1C0746" w14:textId="462649D5" w:rsidR="009C5B01" w:rsidRDefault="000D4A43" w:rsidP="0089359A">
      <w:p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Pr>
          <w:rFonts w:ascii="Hyra Sans Text" w:eastAsiaTheme="minorHAnsi" w:hAnsi="Hyra Sans Text" w:cstheme="minorBidi"/>
          <w:kern w:val="2"/>
          <w:sz w:val="20"/>
          <w:szCs w:val="20"/>
          <w14:ligatures w14:val="standardContextual"/>
        </w:rPr>
        <w:t xml:space="preserve">Vi kan konstatera att </w:t>
      </w:r>
      <w:r w:rsidR="009C5B01">
        <w:rPr>
          <w:rFonts w:ascii="Hyra Sans Text" w:eastAsiaTheme="minorHAnsi" w:hAnsi="Hyra Sans Text" w:cstheme="minorBidi"/>
          <w:kern w:val="2"/>
          <w:sz w:val="20"/>
          <w:szCs w:val="20"/>
          <w14:ligatures w14:val="standardContextual"/>
        </w:rPr>
        <w:t>parterna</w:t>
      </w:r>
      <w:r>
        <w:rPr>
          <w:rFonts w:ascii="Hyra Sans Text" w:eastAsiaTheme="minorHAnsi" w:hAnsi="Hyra Sans Text" w:cstheme="minorBidi"/>
          <w:kern w:val="2"/>
          <w:sz w:val="20"/>
          <w:szCs w:val="20"/>
          <w14:ligatures w14:val="standardContextual"/>
        </w:rPr>
        <w:t xml:space="preserve"> i 3</w:t>
      </w:r>
      <w:r w:rsidR="009C5B01">
        <w:rPr>
          <w:rFonts w:ascii="Hyra Sans Text" w:eastAsiaTheme="minorHAnsi" w:hAnsi="Hyra Sans Text" w:cstheme="minorBidi"/>
          <w:kern w:val="2"/>
          <w:sz w:val="20"/>
          <w:szCs w:val="20"/>
          <w14:ligatures w14:val="standardContextual"/>
        </w:rPr>
        <w:t>6 av 38 kommuner som förhandlas av Hyresgästföreningens region BohusÄlvsborg-Skaraborg tecknade lokala överenskommelser</w:t>
      </w:r>
      <w:r w:rsidR="007F3F53">
        <w:rPr>
          <w:rFonts w:ascii="Hyra Sans Text" w:eastAsiaTheme="minorHAnsi" w:hAnsi="Hyra Sans Text" w:cstheme="minorBidi"/>
          <w:kern w:val="2"/>
          <w:sz w:val="20"/>
          <w:szCs w:val="20"/>
          <w14:ligatures w14:val="standardContextual"/>
        </w:rPr>
        <w:t xml:space="preserve"> </w:t>
      </w:r>
      <w:r w:rsidR="007F3F53">
        <w:rPr>
          <w:rFonts w:ascii="Hyra Sans Text" w:eastAsiaTheme="minorHAnsi" w:hAnsi="Hyra Sans Text" w:cstheme="minorBidi"/>
          <w:kern w:val="2"/>
          <w:sz w:val="20"/>
          <w:szCs w:val="20"/>
          <w14:ligatures w14:val="standardContextual"/>
        </w:rPr>
        <w:t>under fjolåret</w:t>
      </w:r>
      <w:r w:rsidR="009C5B01">
        <w:rPr>
          <w:rFonts w:ascii="Hyra Sans Text" w:eastAsiaTheme="minorHAnsi" w:hAnsi="Hyra Sans Text" w:cstheme="minorBidi"/>
          <w:kern w:val="2"/>
          <w:sz w:val="20"/>
          <w:szCs w:val="20"/>
          <w14:ligatures w14:val="standardContextual"/>
        </w:rPr>
        <w:t xml:space="preserve">. 32 av </w:t>
      </w:r>
      <w:r w:rsidR="005036C2">
        <w:rPr>
          <w:rFonts w:ascii="Hyra Sans Text" w:eastAsiaTheme="minorHAnsi" w:hAnsi="Hyra Sans Text" w:cstheme="minorBidi"/>
          <w:kern w:val="2"/>
          <w:sz w:val="20"/>
          <w:szCs w:val="20"/>
          <w14:ligatures w14:val="standardContextual"/>
        </w:rPr>
        <w:t xml:space="preserve">dessa </w:t>
      </w:r>
      <w:r w:rsidR="009C5B01">
        <w:rPr>
          <w:rFonts w:ascii="Hyra Sans Text" w:eastAsiaTheme="minorHAnsi" w:hAnsi="Hyra Sans Text" w:cstheme="minorBidi"/>
          <w:kern w:val="2"/>
          <w:sz w:val="20"/>
          <w:szCs w:val="20"/>
          <w14:ligatures w14:val="standardContextual"/>
        </w:rPr>
        <w:t xml:space="preserve">36 kommuner var sådana som påkallades i slutet av augusti 2024. De enda kommuner där en skiljeman fastställde hyreshöjningen var sådana som påkallades och förhandlades innan det gemensamma förhandlingsunderlaget var färdigställt. </w:t>
      </w:r>
    </w:p>
    <w:p w14:paraId="7DAFBD0B" w14:textId="4BDD4781" w:rsidR="00D97BEC" w:rsidRDefault="009C5B01" w:rsidP="0089359A">
      <w:p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Pr>
          <w:rFonts w:ascii="Hyra Sans Text" w:eastAsiaTheme="minorHAnsi" w:hAnsi="Hyra Sans Text" w:cstheme="minorBidi"/>
          <w:kern w:val="2"/>
          <w:sz w:val="20"/>
          <w:szCs w:val="20"/>
          <w14:ligatures w14:val="standardContextual"/>
        </w:rPr>
        <w:t>Vår slutsats är därför att parterna borde ha goda förutsättningar att komma överens om hyreshöjning för 2026 när den gemensamma vägledningen har publicerats. Vi drar också slutsatsen att förhandlingar med start i augusti är förenligt med att undvika retroaktivitet för hyresgästerna.</w:t>
      </w:r>
    </w:p>
    <w:p w14:paraId="26CDE881" w14:textId="60EA74CC" w:rsidR="008B3DD9" w:rsidRDefault="008B3DD9" w:rsidP="0089359A">
      <w:p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Pr>
          <w:rFonts w:ascii="Hyra Sans Text" w:eastAsiaTheme="minorHAnsi" w:hAnsi="Hyra Sans Text" w:cstheme="minorBidi"/>
          <w:kern w:val="2"/>
          <w:sz w:val="20"/>
          <w:szCs w:val="20"/>
          <w14:ligatures w14:val="standardContextual"/>
        </w:rPr>
        <w:t>För att både möjliggöra förhandlingar utifrån parternas gemensamma förhandlingsunderlag och undvika retroaktivitet föreslår vi en hantering i enlighet med följande:</w:t>
      </w:r>
    </w:p>
    <w:p w14:paraId="50CE9662" w14:textId="07DC777B" w:rsidR="007656AC" w:rsidRDefault="007656AC" w:rsidP="0089359A">
      <w:pPr>
        <w:pStyle w:val="Liststycke"/>
        <w:numPr>
          <w:ilvl w:val="0"/>
          <w:numId w:val="11"/>
        </w:num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Pr>
          <w:rFonts w:ascii="Hyra Sans Text" w:eastAsiaTheme="minorHAnsi" w:hAnsi="Hyra Sans Text" w:cstheme="minorBidi"/>
          <w:kern w:val="2"/>
          <w:sz w:val="20"/>
          <w:szCs w:val="20"/>
          <w14:ligatures w14:val="standardContextual"/>
        </w:rPr>
        <w:t xml:space="preserve">Parterna kommer gemensamt överens om att avsluta förhandlingen om årlig </w:t>
      </w:r>
      <w:r w:rsidR="00E45C4A">
        <w:rPr>
          <w:rFonts w:ascii="Hyra Sans Text" w:eastAsiaTheme="minorHAnsi" w:hAnsi="Hyra Sans Text" w:cstheme="minorBidi"/>
          <w:kern w:val="2"/>
          <w:sz w:val="20"/>
          <w:szCs w:val="20"/>
          <w14:ligatures w14:val="standardContextual"/>
        </w:rPr>
        <w:t>hyresjustering</w:t>
      </w:r>
      <w:r>
        <w:rPr>
          <w:rFonts w:ascii="Hyra Sans Text" w:eastAsiaTheme="minorHAnsi" w:hAnsi="Hyra Sans Text" w:cstheme="minorBidi"/>
          <w:kern w:val="2"/>
          <w:sz w:val="20"/>
          <w:szCs w:val="20"/>
          <w14:ligatures w14:val="standardContextual"/>
        </w:rPr>
        <w:t xml:space="preserve"> för 2026 i XXX kommun. Detta med villkoret att det möjliggörs för Fastighetsägarna GFR, för egen del och som ombud för berörda hyresvärdar, att påkalla förhandling om årlig hyreshöjning</w:t>
      </w:r>
      <w:r w:rsidR="000D6B10">
        <w:rPr>
          <w:rFonts w:ascii="Hyra Sans Text" w:eastAsiaTheme="minorHAnsi" w:hAnsi="Hyra Sans Text" w:cstheme="minorBidi"/>
          <w:kern w:val="2"/>
          <w:sz w:val="20"/>
          <w:szCs w:val="20"/>
          <w14:ligatures w14:val="standardContextual"/>
        </w:rPr>
        <w:t xml:space="preserve"> med möjlighet till tvistlösning</w:t>
      </w:r>
      <w:r>
        <w:rPr>
          <w:rFonts w:ascii="Hyra Sans Text" w:eastAsiaTheme="minorHAnsi" w:hAnsi="Hyra Sans Text" w:cstheme="minorBidi"/>
          <w:kern w:val="2"/>
          <w:sz w:val="20"/>
          <w:szCs w:val="20"/>
          <w14:ligatures w14:val="standardContextual"/>
        </w:rPr>
        <w:t xml:space="preserve"> igen när </w:t>
      </w:r>
      <w:r w:rsidR="00E45C4A">
        <w:rPr>
          <w:rFonts w:ascii="Hyra Sans Text" w:eastAsiaTheme="minorHAnsi" w:hAnsi="Hyra Sans Text" w:cstheme="minorBidi"/>
          <w:kern w:val="2"/>
          <w:sz w:val="20"/>
          <w:szCs w:val="20"/>
          <w14:ligatures w14:val="standardContextual"/>
        </w:rPr>
        <w:t>den gemensamma vägledningen är publicerad.</w:t>
      </w:r>
    </w:p>
    <w:p w14:paraId="1B24B32B" w14:textId="487C3B38" w:rsidR="007A2865" w:rsidRPr="00E60024" w:rsidRDefault="00E45C4A" w:rsidP="0089359A">
      <w:pPr>
        <w:pStyle w:val="Liststycke"/>
        <w:numPr>
          <w:ilvl w:val="0"/>
          <w:numId w:val="11"/>
        </w:numPr>
        <w:suppressAutoHyphens w:val="0"/>
        <w:autoSpaceDN/>
        <w:spacing w:after="240" w:line="240" w:lineRule="auto"/>
        <w:textAlignment w:val="auto"/>
        <w:rPr>
          <w:rFonts w:ascii="Hyra Sans Text" w:eastAsiaTheme="minorHAnsi" w:hAnsi="Hyra Sans Text" w:cstheme="minorBidi"/>
          <w:kern w:val="2"/>
          <w:sz w:val="20"/>
          <w:szCs w:val="20"/>
          <w14:ligatures w14:val="standardContextual"/>
        </w:rPr>
      </w:pPr>
      <w:r>
        <w:rPr>
          <w:rFonts w:ascii="Hyra Sans Text" w:eastAsiaTheme="minorHAnsi" w:hAnsi="Hyra Sans Text" w:cstheme="minorBidi"/>
          <w:kern w:val="2"/>
          <w:sz w:val="20"/>
          <w:szCs w:val="20"/>
          <w14:ligatures w14:val="standardContextual"/>
        </w:rPr>
        <w:lastRenderedPageBreak/>
        <w:t xml:space="preserve">Parterna tar innan sommaren fram en gemensam plan för hur förhandlingarna kan bedrivas med stor effektivitet under hösten. </w:t>
      </w:r>
      <w:r w:rsidR="00F64F15">
        <w:rPr>
          <w:rFonts w:ascii="Hyra Sans Text" w:eastAsiaTheme="minorHAnsi" w:hAnsi="Hyra Sans Text" w:cstheme="minorBidi"/>
          <w:kern w:val="2"/>
          <w:sz w:val="20"/>
          <w:szCs w:val="20"/>
          <w14:ligatures w14:val="standardContextual"/>
        </w:rPr>
        <w:t>Detta inkluderar att redan nu komma överens om förhandlingstider och tidpunkt för eventuell medling</w:t>
      </w:r>
      <w:r w:rsidR="00E60024">
        <w:rPr>
          <w:rFonts w:ascii="Hyra Sans Text" w:eastAsiaTheme="minorHAnsi" w:hAnsi="Hyra Sans Text" w:cstheme="minorBidi"/>
          <w:kern w:val="2"/>
          <w:sz w:val="20"/>
          <w:szCs w:val="20"/>
          <w14:ligatures w14:val="standardContextual"/>
        </w:rPr>
        <w:t>.</w:t>
      </w:r>
    </w:p>
    <w:sectPr w:rsidR="007A2865" w:rsidRPr="00E60024">
      <w:headerReference w:type="default" r:id="rId8"/>
      <w:headerReference w:type="first" r:id="rId9"/>
      <w:pgSz w:w="11907" w:h="16840"/>
      <w:pgMar w:top="2268" w:right="1418" w:bottom="992" w:left="3799" w:header="62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A19A" w14:textId="77777777" w:rsidR="00362370" w:rsidRDefault="00362370">
      <w:pPr>
        <w:spacing w:line="240" w:lineRule="auto"/>
      </w:pPr>
      <w:r>
        <w:separator/>
      </w:r>
    </w:p>
  </w:endnote>
  <w:endnote w:type="continuationSeparator" w:id="0">
    <w:p w14:paraId="35F9DD6D" w14:textId="77777777" w:rsidR="00362370" w:rsidRDefault="00362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yra Sans Text">
    <w:panose1 w:val="000005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yra Sans Display">
    <w:panose1 w:val="00000500000000000000"/>
    <w:charset w:val="00"/>
    <w:family w:val="modern"/>
    <w:notTrueType/>
    <w:pitch w:val="variable"/>
    <w:sig w:usb0="A000002F" w:usb1="5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Hyra Sans">
    <w:panose1 w:val="000005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F00B" w14:textId="77777777" w:rsidR="00362370" w:rsidRDefault="00362370">
      <w:pPr>
        <w:spacing w:line="240" w:lineRule="auto"/>
      </w:pPr>
      <w:r>
        <w:rPr>
          <w:color w:val="000000"/>
        </w:rPr>
        <w:separator/>
      </w:r>
    </w:p>
  </w:footnote>
  <w:footnote w:type="continuationSeparator" w:id="0">
    <w:p w14:paraId="6E221C3B" w14:textId="77777777" w:rsidR="00362370" w:rsidRDefault="00362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05C1" w14:textId="77777777" w:rsidR="00D47DF1" w:rsidRPr="00D47DF1" w:rsidRDefault="00A07C3B">
    <w:pPr>
      <w:pStyle w:val="Sidhuvud"/>
      <w:jc w:val="right"/>
      <w:rPr>
        <w:rFonts w:ascii="Hyra Sans" w:hAnsi="Hyra Sans"/>
      </w:rPr>
    </w:pPr>
    <w:r w:rsidRPr="00D47DF1">
      <w:rPr>
        <w:rFonts w:ascii="Hyra Sans" w:hAnsi="Hyra Sans"/>
      </w:rPr>
      <w:fldChar w:fldCharType="begin"/>
    </w:r>
    <w:r w:rsidRPr="00D47DF1">
      <w:rPr>
        <w:rFonts w:ascii="Hyra Sans" w:hAnsi="Hyra Sans"/>
      </w:rPr>
      <w:instrText xml:space="preserve"> PAGE </w:instrText>
    </w:r>
    <w:r w:rsidRPr="00D47DF1">
      <w:rPr>
        <w:rFonts w:ascii="Hyra Sans" w:hAnsi="Hyra Sans"/>
      </w:rPr>
      <w:fldChar w:fldCharType="separate"/>
    </w:r>
    <w:r w:rsidRPr="00D47DF1">
      <w:rPr>
        <w:rFonts w:ascii="Hyra Sans" w:hAnsi="Hyra Sans"/>
      </w:rPr>
      <w:t>2</w:t>
    </w:r>
    <w:r w:rsidRPr="00D47DF1">
      <w:rPr>
        <w:rFonts w:ascii="Hyra Sans" w:hAnsi="Hyra Sans"/>
      </w:rPr>
      <w:fldChar w:fldCharType="end"/>
    </w:r>
    <w:r w:rsidRPr="00D47DF1">
      <w:rPr>
        <w:rFonts w:ascii="Hyra Sans" w:hAnsi="Hyra Sans"/>
      </w:rPr>
      <w:t xml:space="preserve"> (</w:t>
    </w:r>
    <w:r w:rsidRPr="00D47DF1">
      <w:rPr>
        <w:rFonts w:ascii="Hyra Sans" w:hAnsi="Hyra Sans"/>
      </w:rPr>
      <w:fldChar w:fldCharType="begin"/>
    </w:r>
    <w:r w:rsidRPr="00D47DF1">
      <w:rPr>
        <w:rFonts w:ascii="Hyra Sans" w:hAnsi="Hyra Sans"/>
      </w:rPr>
      <w:instrText xml:space="preserve"> NUMPAGES </w:instrText>
    </w:r>
    <w:r w:rsidRPr="00D47DF1">
      <w:rPr>
        <w:rFonts w:ascii="Hyra Sans" w:hAnsi="Hyra Sans"/>
      </w:rPr>
      <w:fldChar w:fldCharType="separate"/>
    </w:r>
    <w:r w:rsidRPr="00D47DF1">
      <w:rPr>
        <w:rFonts w:ascii="Hyra Sans" w:hAnsi="Hyra Sans"/>
      </w:rPr>
      <w:t>2</w:t>
    </w:r>
    <w:r w:rsidRPr="00D47DF1">
      <w:rPr>
        <w:rFonts w:ascii="Hyra Sans" w:hAnsi="Hyra Sans"/>
      </w:rPr>
      <w:fldChar w:fldCharType="end"/>
    </w:r>
    <w:r w:rsidRPr="00D47DF1">
      <w:rPr>
        <w:rFonts w:ascii="Hyra Sans" w:hAnsi="Hyra San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Ind w:w="-2603" w:type="dxa"/>
      <w:tblCellMar>
        <w:left w:w="10" w:type="dxa"/>
        <w:right w:w="10" w:type="dxa"/>
      </w:tblCellMar>
      <w:tblLook w:val="0000" w:firstRow="0" w:lastRow="0" w:firstColumn="0" w:lastColumn="0" w:noHBand="0" w:noVBand="0"/>
    </w:tblPr>
    <w:tblGrid>
      <w:gridCol w:w="5155"/>
      <w:gridCol w:w="1993"/>
      <w:gridCol w:w="2383"/>
    </w:tblGrid>
    <w:tr w:rsidR="00A40A97" w14:paraId="500F0A3C" w14:textId="77777777">
      <w:trPr>
        <w:trHeight w:val="255"/>
      </w:trPr>
      <w:tc>
        <w:tcPr>
          <w:tcW w:w="5155" w:type="dxa"/>
          <w:vMerge w:val="restart"/>
          <w:shd w:val="clear" w:color="auto" w:fill="auto"/>
          <w:tcMar>
            <w:top w:w="0" w:type="dxa"/>
            <w:left w:w="0" w:type="dxa"/>
            <w:bottom w:w="0" w:type="dxa"/>
            <w:right w:w="108" w:type="dxa"/>
          </w:tcMar>
        </w:tcPr>
        <w:p w14:paraId="401C2AF5" w14:textId="77777777" w:rsidR="00D47DF1" w:rsidRDefault="00A07C3B">
          <w:pPr>
            <w:pStyle w:val="Sidhuvud"/>
          </w:pPr>
          <w:r>
            <w:rPr>
              <w:rStyle w:val="Rubrik4Char"/>
              <w:noProof/>
            </w:rPr>
            <w:drawing>
              <wp:inline distT="0" distB="0" distL="0" distR="0" wp14:anchorId="78317CC2" wp14:editId="1D8C19BC">
                <wp:extent cx="2343780" cy="317553"/>
                <wp:effectExtent l="0" t="0" r="6350" b="0"/>
                <wp:docPr id="1" name="Bildobjekt 0"/>
                <wp:cNvGraphicFramePr/>
                <a:graphic xmlns:a="http://schemas.openxmlformats.org/drawingml/2006/main">
                  <a:graphicData uri="http://schemas.openxmlformats.org/drawingml/2006/picture">
                    <pic:pic xmlns:pic="http://schemas.openxmlformats.org/drawingml/2006/picture">
                      <pic:nvPicPr>
                        <pic:cNvPr id="1" name="Bildobjekt 0"/>
                        <pic:cNvPicPr/>
                      </pic:nvPicPr>
                      <pic:blipFill>
                        <a:blip r:embed="rId1">
                          <a:extLst>
                            <a:ext uri="{28A0092B-C50C-407E-A947-70E740481C1C}">
                              <a14:useLocalDpi xmlns:a14="http://schemas.microsoft.com/office/drawing/2010/main" val="0"/>
                            </a:ext>
                          </a:extLst>
                        </a:blip>
                        <a:stretch>
                          <a:fillRect/>
                        </a:stretch>
                      </pic:blipFill>
                      <pic:spPr>
                        <a:xfrm>
                          <a:off x="0" y="0"/>
                          <a:ext cx="2343780" cy="317553"/>
                        </a:xfrm>
                        <a:prstGeom prst="rect">
                          <a:avLst/>
                        </a:prstGeom>
                        <a:noFill/>
                        <a:ln>
                          <a:noFill/>
                          <a:prstDash/>
                        </a:ln>
                      </pic:spPr>
                    </pic:pic>
                  </a:graphicData>
                </a:graphic>
              </wp:inline>
            </w:drawing>
          </w:r>
        </w:p>
      </w:tc>
      <w:tc>
        <w:tcPr>
          <w:tcW w:w="4376" w:type="dxa"/>
          <w:gridSpan w:val="2"/>
          <w:shd w:val="clear" w:color="auto" w:fill="auto"/>
          <w:tcMar>
            <w:top w:w="0" w:type="dxa"/>
            <w:left w:w="0" w:type="dxa"/>
            <w:bottom w:w="0" w:type="dxa"/>
            <w:right w:w="170" w:type="dxa"/>
          </w:tcMar>
          <w:vAlign w:val="bottom"/>
        </w:tcPr>
        <w:p w14:paraId="13A8DC10" w14:textId="77777777" w:rsidR="00D47DF1" w:rsidRPr="00417FB8" w:rsidRDefault="00A07C3B">
          <w:pPr>
            <w:pStyle w:val="Sidhuvud"/>
            <w:jc w:val="right"/>
            <w:rPr>
              <w:rFonts w:ascii="Hyra Sans" w:hAnsi="Hyra Sans"/>
              <w:sz w:val="15"/>
              <w:szCs w:val="15"/>
            </w:rPr>
          </w:pPr>
          <w:r w:rsidRPr="00417FB8">
            <w:rPr>
              <w:rFonts w:ascii="Hyra Sans" w:hAnsi="Hyra Sans"/>
              <w:sz w:val="15"/>
              <w:szCs w:val="15"/>
            </w:rPr>
            <w:fldChar w:fldCharType="begin"/>
          </w:r>
          <w:r w:rsidRPr="00417FB8">
            <w:rPr>
              <w:rFonts w:ascii="Hyra Sans" w:hAnsi="Hyra Sans"/>
              <w:sz w:val="15"/>
              <w:szCs w:val="15"/>
            </w:rPr>
            <w:instrText xml:space="preserve"> PAGE </w:instrText>
          </w:r>
          <w:r w:rsidRPr="00417FB8">
            <w:rPr>
              <w:rFonts w:ascii="Hyra Sans" w:hAnsi="Hyra Sans"/>
              <w:sz w:val="15"/>
              <w:szCs w:val="15"/>
            </w:rPr>
            <w:fldChar w:fldCharType="separate"/>
          </w:r>
          <w:r w:rsidRPr="00417FB8">
            <w:rPr>
              <w:rFonts w:ascii="Hyra Sans" w:hAnsi="Hyra Sans"/>
              <w:sz w:val="15"/>
              <w:szCs w:val="15"/>
            </w:rPr>
            <w:t>1</w:t>
          </w:r>
          <w:r w:rsidRPr="00417FB8">
            <w:rPr>
              <w:rFonts w:ascii="Hyra Sans" w:hAnsi="Hyra Sans"/>
              <w:sz w:val="15"/>
              <w:szCs w:val="15"/>
            </w:rPr>
            <w:fldChar w:fldCharType="end"/>
          </w:r>
          <w:r w:rsidRPr="00417FB8">
            <w:rPr>
              <w:rFonts w:ascii="Hyra Sans" w:hAnsi="Hyra Sans"/>
              <w:sz w:val="15"/>
              <w:szCs w:val="15"/>
            </w:rPr>
            <w:t xml:space="preserve"> (</w:t>
          </w:r>
          <w:r w:rsidRPr="00417FB8">
            <w:rPr>
              <w:rFonts w:ascii="Hyra Sans" w:hAnsi="Hyra Sans"/>
              <w:sz w:val="15"/>
              <w:szCs w:val="15"/>
            </w:rPr>
            <w:fldChar w:fldCharType="begin"/>
          </w:r>
          <w:r w:rsidRPr="00417FB8">
            <w:rPr>
              <w:rFonts w:ascii="Hyra Sans" w:hAnsi="Hyra Sans"/>
              <w:sz w:val="15"/>
              <w:szCs w:val="15"/>
            </w:rPr>
            <w:instrText xml:space="preserve"> NUMPAGES </w:instrText>
          </w:r>
          <w:r w:rsidRPr="00417FB8">
            <w:rPr>
              <w:rFonts w:ascii="Hyra Sans" w:hAnsi="Hyra Sans"/>
              <w:sz w:val="15"/>
              <w:szCs w:val="15"/>
            </w:rPr>
            <w:fldChar w:fldCharType="separate"/>
          </w:r>
          <w:r w:rsidRPr="00417FB8">
            <w:rPr>
              <w:rFonts w:ascii="Hyra Sans" w:hAnsi="Hyra Sans"/>
              <w:sz w:val="15"/>
              <w:szCs w:val="15"/>
            </w:rPr>
            <w:t>1</w:t>
          </w:r>
          <w:r w:rsidRPr="00417FB8">
            <w:rPr>
              <w:rFonts w:ascii="Hyra Sans" w:hAnsi="Hyra Sans"/>
              <w:sz w:val="15"/>
              <w:szCs w:val="15"/>
            </w:rPr>
            <w:fldChar w:fldCharType="end"/>
          </w:r>
          <w:r w:rsidRPr="00417FB8">
            <w:rPr>
              <w:rFonts w:ascii="Hyra Sans" w:hAnsi="Hyra Sans"/>
              <w:sz w:val="15"/>
              <w:szCs w:val="15"/>
            </w:rPr>
            <w:t>)</w:t>
          </w:r>
        </w:p>
      </w:tc>
    </w:tr>
    <w:tr w:rsidR="00A40A97" w14:paraId="5044D381" w14:textId="77777777">
      <w:trPr>
        <w:trHeight w:val="255"/>
      </w:trPr>
      <w:tc>
        <w:tcPr>
          <w:tcW w:w="5155" w:type="dxa"/>
          <w:vMerge/>
          <w:shd w:val="clear" w:color="auto" w:fill="auto"/>
          <w:tcMar>
            <w:top w:w="0" w:type="dxa"/>
            <w:left w:w="0" w:type="dxa"/>
            <w:bottom w:w="0" w:type="dxa"/>
            <w:right w:w="108" w:type="dxa"/>
          </w:tcMar>
        </w:tcPr>
        <w:p w14:paraId="6C087104" w14:textId="77777777" w:rsidR="00D47DF1" w:rsidRDefault="00D47DF1">
          <w:pPr>
            <w:pStyle w:val="Sidhuvud"/>
          </w:pPr>
        </w:p>
      </w:tc>
      <w:tc>
        <w:tcPr>
          <w:tcW w:w="4376" w:type="dxa"/>
          <w:gridSpan w:val="2"/>
          <w:shd w:val="clear" w:color="auto" w:fill="auto"/>
          <w:tcMar>
            <w:top w:w="0" w:type="dxa"/>
            <w:left w:w="0" w:type="dxa"/>
            <w:bottom w:w="0" w:type="dxa"/>
            <w:right w:w="108" w:type="dxa"/>
          </w:tcMar>
          <w:vAlign w:val="bottom"/>
        </w:tcPr>
        <w:p w14:paraId="1AE4A2C3" w14:textId="77777777" w:rsidR="00D47DF1" w:rsidRDefault="00D47DF1">
          <w:pPr>
            <w:pStyle w:val="Sidhuvud"/>
            <w:rPr>
              <w:sz w:val="23"/>
              <w:szCs w:val="23"/>
            </w:rPr>
          </w:pPr>
        </w:p>
      </w:tc>
    </w:tr>
    <w:tr w:rsidR="00A40A97" w14:paraId="27AE86F2" w14:textId="77777777">
      <w:trPr>
        <w:trHeight w:val="255"/>
      </w:trPr>
      <w:tc>
        <w:tcPr>
          <w:tcW w:w="5155" w:type="dxa"/>
          <w:vMerge/>
          <w:shd w:val="clear" w:color="auto" w:fill="auto"/>
          <w:tcMar>
            <w:top w:w="0" w:type="dxa"/>
            <w:left w:w="0" w:type="dxa"/>
            <w:bottom w:w="0" w:type="dxa"/>
            <w:right w:w="108" w:type="dxa"/>
          </w:tcMar>
        </w:tcPr>
        <w:p w14:paraId="7B72CC55" w14:textId="77777777" w:rsidR="00D47DF1" w:rsidRDefault="00D47DF1">
          <w:pPr>
            <w:pStyle w:val="Sidhuvud"/>
          </w:pPr>
        </w:p>
      </w:tc>
      <w:tc>
        <w:tcPr>
          <w:tcW w:w="4376" w:type="dxa"/>
          <w:gridSpan w:val="2"/>
          <w:shd w:val="clear" w:color="auto" w:fill="auto"/>
          <w:tcMar>
            <w:top w:w="0" w:type="dxa"/>
            <w:left w:w="0" w:type="dxa"/>
            <w:bottom w:w="0" w:type="dxa"/>
            <w:right w:w="108" w:type="dxa"/>
          </w:tcMar>
        </w:tcPr>
        <w:p w14:paraId="7E15DC3A" w14:textId="77777777" w:rsidR="00D47DF1" w:rsidRDefault="00D47DF1">
          <w:pPr>
            <w:pStyle w:val="Sidhuvud"/>
            <w:rPr>
              <w:sz w:val="20"/>
              <w:szCs w:val="20"/>
            </w:rPr>
          </w:pPr>
        </w:p>
      </w:tc>
    </w:tr>
    <w:tr w:rsidR="00A40A97" w14:paraId="6EFB7B16" w14:textId="77777777">
      <w:trPr>
        <w:trHeight w:val="255"/>
      </w:trPr>
      <w:tc>
        <w:tcPr>
          <w:tcW w:w="5155" w:type="dxa"/>
          <w:vMerge/>
          <w:shd w:val="clear" w:color="auto" w:fill="auto"/>
          <w:tcMar>
            <w:top w:w="0" w:type="dxa"/>
            <w:left w:w="0" w:type="dxa"/>
            <w:bottom w:w="0" w:type="dxa"/>
            <w:right w:w="108" w:type="dxa"/>
          </w:tcMar>
        </w:tcPr>
        <w:p w14:paraId="6D7BBEB7" w14:textId="77777777" w:rsidR="00D47DF1" w:rsidRDefault="00D47DF1">
          <w:pPr>
            <w:pStyle w:val="Sidhuvud"/>
          </w:pPr>
        </w:p>
      </w:tc>
      <w:tc>
        <w:tcPr>
          <w:tcW w:w="1993" w:type="dxa"/>
          <w:shd w:val="clear" w:color="auto" w:fill="auto"/>
          <w:tcMar>
            <w:top w:w="0" w:type="dxa"/>
            <w:left w:w="0" w:type="dxa"/>
            <w:bottom w:w="0" w:type="dxa"/>
            <w:right w:w="108" w:type="dxa"/>
          </w:tcMar>
          <w:vAlign w:val="bottom"/>
        </w:tcPr>
        <w:p w14:paraId="3F50534A" w14:textId="77777777" w:rsidR="00D47DF1" w:rsidRDefault="00D47DF1">
          <w:pPr>
            <w:pStyle w:val="Sidhuvud"/>
            <w:rPr>
              <w:b/>
            </w:rPr>
          </w:pPr>
        </w:p>
      </w:tc>
      <w:tc>
        <w:tcPr>
          <w:tcW w:w="2383" w:type="dxa"/>
          <w:shd w:val="clear" w:color="auto" w:fill="auto"/>
          <w:tcMar>
            <w:top w:w="0" w:type="dxa"/>
            <w:left w:w="0" w:type="dxa"/>
            <w:bottom w:w="0" w:type="dxa"/>
            <w:right w:w="108" w:type="dxa"/>
          </w:tcMar>
          <w:vAlign w:val="bottom"/>
        </w:tcPr>
        <w:p w14:paraId="07980B70" w14:textId="77777777" w:rsidR="00D47DF1" w:rsidRDefault="00D47DF1">
          <w:pPr>
            <w:pStyle w:val="Sidhuvud"/>
            <w:rPr>
              <w:b/>
            </w:rPr>
          </w:pPr>
        </w:p>
      </w:tc>
    </w:tr>
    <w:tr w:rsidR="00A40A97" w14:paraId="3C175482" w14:textId="77777777">
      <w:trPr>
        <w:trHeight w:val="240"/>
      </w:trPr>
      <w:tc>
        <w:tcPr>
          <w:tcW w:w="5155" w:type="dxa"/>
          <w:vMerge/>
          <w:shd w:val="clear" w:color="auto" w:fill="auto"/>
          <w:tcMar>
            <w:top w:w="0" w:type="dxa"/>
            <w:left w:w="0" w:type="dxa"/>
            <w:bottom w:w="0" w:type="dxa"/>
            <w:right w:w="108" w:type="dxa"/>
          </w:tcMar>
        </w:tcPr>
        <w:p w14:paraId="40ADEC0F" w14:textId="77777777" w:rsidR="00D47DF1" w:rsidRDefault="00D47DF1">
          <w:pPr>
            <w:pStyle w:val="Sidhuvud"/>
          </w:pPr>
        </w:p>
      </w:tc>
      <w:tc>
        <w:tcPr>
          <w:tcW w:w="1993" w:type="dxa"/>
          <w:shd w:val="clear" w:color="auto" w:fill="auto"/>
          <w:tcMar>
            <w:top w:w="0" w:type="dxa"/>
            <w:left w:w="0" w:type="dxa"/>
            <w:bottom w:w="0" w:type="dxa"/>
            <w:right w:w="108" w:type="dxa"/>
          </w:tcMar>
        </w:tcPr>
        <w:p w14:paraId="6B45D908" w14:textId="77777777" w:rsidR="00D47DF1" w:rsidRDefault="00D47DF1">
          <w:pPr>
            <w:pStyle w:val="Sidhuvud"/>
            <w:rPr>
              <w:sz w:val="20"/>
              <w:szCs w:val="20"/>
            </w:rPr>
          </w:pPr>
        </w:p>
      </w:tc>
      <w:tc>
        <w:tcPr>
          <w:tcW w:w="2383" w:type="dxa"/>
          <w:shd w:val="clear" w:color="auto" w:fill="auto"/>
          <w:tcMar>
            <w:top w:w="0" w:type="dxa"/>
            <w:left w:w="0" w:type="dxa"/>
            <w:bottom w:w="0" w:type="dxa"/>
            <w:right w:w="108" w:type="dxa"/>
          </w:tcMar>
        </w:tcPr>
        <w:p w14:paraId="71A40316" w14:textId="77777777" w:rsidR="00D47DF1" w:rsidRDefault="00D47DF1">
          <w:pPr>
            <w:pStyle w:val="Sidhuvud"/>
            <w:rPr>
              <w:sz w:val="20"/>
              <w:szCs w:val="20"/>
            </w:rPr>
          </w:pPr>
        </w:p>
      </w:tc>
    </w:tr>
  </w:tbl>
  <w:p w14:paraId="6611E042" w14:textId="77777777" w:rsidR="00D47DF1" w:rsidRDefault="00D47DF1">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6E"/>
    <w:multiLevelType w:val="multilevel"/>
    <w:tmpl w:val="D92C2BAC"/>
    <w:styleLink w:val="HyresgstfreningenLista2"/>
    <w:lvl w:ilvl="0">
      <w:numFmt w:val="bullet"/>
      <w:lvlText w:val=""/>
      <w:lvlJc w:val="left"/>
      <w:pPr>
        <w:ind w:left="360" w:hanging="360"/>
      </w:pPr>
      <w:rPr>
        <w:rFonts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2A774C"/>
    <w:multiLevelType w:val="hybridMultilevel"/>
    <w:tmpl w:val="043A609C"/>
    <w:lvl w:ilvl="0" w:tplc="509264DE">
      <w:start w:val="2024"/>
      <w:numFmt w:val="bullet"/>
      <w:lvlText w:val="-"/>
      <w:lvlJc w:val="left"/>
      <w:pPr>
        <w:ind w:left="720" w:hanging="360"/>
      </w:pPr>
      <w:rPr>
        <w:rFonts w:ascii="Hyra Sans Text" w:eastAsiaTheme="minorHAnsi" w:hAnsi="Hyra Sans Tex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1C2ECD"/>
    <w:multiLevelType w:val="hybridMultilevel"/>
    <w:tmpl w:val="580C20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E403CC"/>
    <w:multiLevelType w:val="hybridMultilevel"/>
    <w:tmpl w:val="919E010E"/>
    <w:lvl w:ilvl="0" w:tplc="9ED620EE">
      <w:start w:val="202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691019"/>
    <w:multiLevelType w:val="hybridMultilevel"/>
    <w:tmpl w:val="90A46C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3D311B"/>
    <w:multiLevelType w:val="hybridMultilevel"/>
    <w:tmpl w:val="0FDA8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83099A"/>
    <w:multiLevelType w:val="hybridMultilevel"/>
    <w:tmpl w:val="F8AA1A12"/>
    <w:lvl w:ilvl="0" w:tplc="6680AD4E">
      <w:start w:val="2025"/>
      <w:numFmt w:val="bullet"/>
      <w:lvlText w:val="-"/>
      <w:lvlJc w:val="left"/>
      <w:pPr>
        <w:ind w:left="720" w:hanging="360"/>
      </w:pPr>
      <w:rPr>
        <w:rFonts w:ascii="Hyra Sans Text" w:eastAsiaTheme="minorHAnsi" w:hAnsi="Hyra Sans Tex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951FF1"/>
    <w:multiLevelType w:val="multilevel"/>
    <w:tmpl w:val="5672BD7E"/>
    <w:styleLink w:val="HyresgstfreningenLista"/>
    <w:lvl w:ilvl="0">
      <w:numFmt w:val="bullet"/>
      <w:pStyle w:val="Punktlista2Hyresgstfreningen"/>
      <w:lvlText w:val=""/>
      <w:lvlJc w:val="left"/>
      <w:pPr>
        <w:ind w:left="360" w:hanging="360"/>
      </w:pPr>
      <w:rPr>
        <w:rFonts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numFmt w:val="bullet"/>
      <w:lvlText w:val=""/>
      <w:lvlJc w:val="left"/>
      <w:pPr>
        <w:ind w:left="357" w:hanging="357"/>
      </w:pPr>
      <w:rPr>
        <w:rFonts w:ascii="Symbol" w:hAnsi="Symbol"/>
        <w:color w:val="FFCC33"/>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E53B5C"/>
    <w:multiLevelType w:val="hybridMultilevel"/>
    <w:tmpl w:val="EF3EA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B377028"/>
    <w:multiLevelType w:val="multilevel"/>
    <w:tmpl w:val="EAB004D6"/>
    <w:styleLink w:val="CompanyHeadingNumber"/>
    <w:lvl w:ilvl="0">
      <w:start w:val="1"/>
      <w:numFmt w:val="decimal"/>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9D3D26"/>
    <w:multiLevelType w:val="hybridMultilevel"/>
    <w:tmpl w:val="C832B4F8"/>
    <w:lvl w:ilvl="0" w:tplc="1D2A594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8106668">
    <w:abstractNumId w:val="7"/>
  </w:num>
  <w:num w:numId="2" w16cid:durableId="2114670120">
    <w:abstractNumId w:val="0"/>
  </w:num>
  <w:num w:numId="3" w16cid:durableId="510339854">
    <w:abstractNumId w:val="9"/>
  </w:num>
  <w:num w:numId="4" w16cid:durableId="393091803">
    <w:abstractNumId w:val="8"/>
  </w:num>
  <w:num w:numId="5" w16cid:durableId="88158025">
    <w:abstractNumId w:val="4"/>
  </w:num>
  <w:num w:numId="6" w16cid:durableId="1030642904">
    <w:abstractNumId w:val="2"/>
  </w:num>
  <w:num w:numId="7" w16cid:durableId="264385267">
    <w:abstractNumId w:val="3"/>
  </w:num>
  <w:num w:numId="8" w16cid:durableId="1529559519">
    <w:abstractNumId w:val="10"/>
  </w:num>
  <w:num w:numId="9" w16cid:durableId="409890094">
    <w:abstractNumId w:val="5"/>
  </w:num>
  <w:num w:numId="10" w16cid:durableId="124352193">
    <w:abstractNumId w:val="1"/>
  </w:num>
  <w:num w:numId="11" w16cid:durableId="1687831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15"/>
    <w:rsid w:val="00014A47"/>
    <w:rsid w:val="000401F1"/>
    <w:rsid w:val="00045EB8"/>
    <w:rsid w:val="00070FFE"/>
    <w:rsid w:val="000732CE"/>
    <w:rsid w:val="000B55C4"/>
    <w:rsid w:val="000D4A43"/>
    <w:rsid w:val="000D6B10"/>
    <w:rsid w:val="000E73ED"/>
    <w:rsid w:val="00140E31"/>
    <w:rsid w:val="0018216F"/>
    <w:rsid w:val="00193E99"/>
    <w:rsid w:val="00207692"/>
    <w:rsid w:val="002400F3"/>
    <w:rsid w:val="0028105D"/>
    <w:rsid w:val="002B3790"/>
    <w:rsid w:val="002F158C"/>
    <w:rsid w:val="002F4118"/>
    <w:rsid w:val="00304AAB"/>
    <w:rsid w:val="0034036A"/>
    <w:rsid w:val="0035685C"/>
    <w:rsid w:val="00362370"/>
    <w:rsid w:val="003642CA"/>
    <w:rsid w:val="003658B2"/>
    <w:rsid w:val="00381392"/>
    <w:rsid w:val="00387C1C"/>
    <w:rsid w:val="003B2EB5"/>
    <w:rsid w:val="003D3DEB"/>
    <w:rsid w:val="003D6BD9"/>
    <w:rsid w:val="003D7AF1"/>
    <w:rsid w:val="00417FB8"/>
    <w:rsid w:val="0045591C"/>
    <w:rsid w:val="004574FA"/>
    <w:rsid w:val="00471BBA"/>
    <w:rsid w:val="004A193C"/>
    <w:rsid w:val="004A546A"/>
    <w:rsid w:val="004F57EF"/>
    <w:rsid w:val="005036C2"/>
    <w:rsid w:val="00504AB1"/>
    <w:rsid w:val="00524551"/>
    <w:rsid w:val="005866B2"/>
    <w:rsid w:val="006161BD"/>
    <w:rsid w:val="00690A7E"/>
    <w:rsid w:val="00691AE3"/>
    <w:rsid w:val="006C0949"/>
    <w:rsid w:val="006C2870"/>
    <w:rsid w:val="006C59BE"/>
    <w:rsid w:val="006E2393"/>
    <w:rsid w:val="006F6989"/>
    <w:rsid w:val="0070422E"/>
    <w:rsid w:val="0075035F"/>
    <w:rsid w:val="00753D81"/>
    <w:rsid w:val="007656AC"/>
    <w:rsid w:val="00780607"/>
    <w:rsid w:val="007A2865"/>
    <w:rsid w:val="007D05BE"/>
    <w:rsid w:val="007F1C2C"/>
    <w:rsid w:val="007F3F53"/>
    <w:rsid w:val="008024C5"/>
    <w:rsid w:val="00805078"/>
    <w:rsid w:val="00887752"/>
    <w:rsid w:val="0089359A"/>
    <w:rsid w:val="008B3DD9"/>
    <w:rsid w:val="008C7F11"/>
    <w:rsid w:val="008F4D5B"/>
    <w:rsid w:val="008F5A3F"/>
    <w:rsid w:val="009377D6"/>
    <w:rsid w:val="00975433"/>
    <w:rsid w:val="009767C6"/>
    <w:rsid w:val="009C5B01"/>
    <w:rsid w:val="009D4EC6"/>
    <w:rsid w:val="009E1FD7"/>
    <w:rsid w:val="009E3E45"/>
    <w:rsid w:val="009E759A"/>
    <w:rsid w:val="00A07C3B"/>
    <w:rsid w:val="00A24DED"/>
    <w:rsid w:val="00A24FE2"/>
    <w:rsid w:val="00A311C9"/>
    <w:rsid w:val="00A6195B"/>
    <w:rsid w:val="00A80BB7"/>
    <w:rsid w:val="00AB37A8"/>
    <w:rsid w:val="00B96C53"/>
    <w:rsid w:val="00BB40E3"/>
    <w:rsid w:val="00BF69C2"/>
    <w:rsid w:val="00C1470C"/>
    <w:rsid w:val="00C2707D"/>
    <w:rsid w:val="00C336C1"/>
    <w:rsid w:val="00C57F7A"/>
    <w:rsid w:val="00C62C85"/>
    <w:rsid w:val="00C769C9"/>
    <w:rsid w:val="00C77DC6"/>
    <w:rsid w:val="00C9162F"/>
    <w:rsid w:val="00CA4E62"/>
    <w:rsid w:val="00CB2039"/>
    <w:rsid w:val="00CB41A2"/>
    <w:rsid w:val="00CC4262"/>
    <w:rsid w:val="00CF4158"/>
    <w:rsid w:val="00D100BE"/>
    <w:rsid w:val="00D13CAA"/>
    <w:rsid w:val="00D218D2"/>
    <w:rsid w:val="00D236D3"/>
    <w:rsid w:val="00D25B2E"/>
    <w:rsid w:val="00D340F2"/>
    <w:rsid w:val="00D47DF1"/>
    <w:rsid w:val="00D76CA9"/>
    <w:rsid w:val="00D92902"/>
    <w:rsid w:val="00D97BEC"/>
    <w:rsid w:val="00DA0115"/>
    <w:rsid w:val="00DD3CB5"/>
    <w:rsid w:val="00E10495"/>
    <w:rsid w:val="00E36893"/>
    <w:rsid w:val="00E45C4A"/>
    <w:rsid w:val="00E53F0D"/>
    <w:rsid w:val="00E60024"/>
    <w:rsid w:val="00E92C21"/>
    <w:rsid w:val="00EA3FE3"/>
    <w:rsid w:val="00EB3AC6"/>
    <w:rsid w:val="00ED1359"/>
    <w:rsid w:val="00F0700C"/>
    <w:rsid w:val="00F07CC8"/>
    <w:rsid w:val="00F13F82"/>
    <w:rsid w:val="00F232D2"/>
    <w:rsid w:val="00F64F15"/>
    <w:rsid w:val="00F66B39"/>
    <w:rsid w:val="00FB2A3A"/>
    <w:rsid w:val="00FC208E"/>
    <w:rsid w:val="00FF3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AC94"/>
  <w15:docId w15:val="{3FC82DB5-F682-4B41-BC6F-DE298E49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90" w:lineRule="atLeast"/>
    </w:pPr>
    <w:rPr>
      <w:sz w:val="23"/>
      <w:lang w:val="sv-SE"/>
    </w:rPr>
  </w:style>
  <w:style w:type="paragraph" w:styleId="Rubrik1">
    <w:name w:val="heading 1"/>
    <w:next w:val="Normal"/>
    <w:uiPriority w:val="9"/>
    <w:qFormat/>
    <w:pPr>
      <w:keepNext/>
      <w:keepLines/>
      <w:suppressAutoHyphens/>
      <w:spacing w:before="360" w:after="120" w:line="276" w:lineRule="auto"/>
      <w:outlineLvl w:val="0"/>
    </w:pPr>
    <w:rPr>
      <w:rFonts w:ascii="Arial" w:hAnsi="Arial"/>
      <w:b/>
      <w:sz w:val="36"/>
      <w:szCs w:val="32"/>
      <w:lang w:val="sv-SE"/>
    </w:rPr>
  </w:style>
  <w:style w:type="paragraph" w:styleId="Rubrik2">
    <w:name w:val="heading 2"/>
    <w:basedOn w:val="Normal"/>
    <w:next w:val="Normal"/>
    <w:uiPriority w:val="9"/>
    <w:unhideWhenUsed/>
    <w:qFormat/>
    <w:rsid w:val="00DA0115"/>
    <w:pPr>
      <w:outlineLvl w:val="1"/>
    </w:pPr>
    <w:rPr>
      <w:rFonts w:ascii="Hyra Sans Display" w:hAnsi="Hyra Sans Display"/>
    </w:rPr>
  </w:style>
  <w:style w:type="paragraph" w:styleId="Rubrik3">
    <w:name w:val="heading 3"/>
    <w:next w:val="Normal"/>
    <w:uiPriority w:val="9"/>
    <w:semiHidden/>
    <w:unhideWhenUsed/>
    <w:qFormat/>
    <w:pPr>
      <w:keepNext/>
      <w:keepLines/>
      <w:suppressAutoHyphens/>
      <w:spacing w:before="360" w:after="60" w:line="290" w:lineRule="exact"/>
      <w:outlineLvl w:val="2"/>
    </w:pPr>
    <w:rPr>
      <w:rFonts w:ascii="Arial" w:hAnsi="Arial"/>
      <w:b/>
      <w:sz w:val="23"/>
      <w:szCs w:val="24"/>
      <w:lang w:val="sv-SE"/>
    </w:rPr>
  </w:style>
  <w:style w:type="paragraph" w:styleId="Rubrik4">
    <w:name w:val="heading 4"/>
    <w:next w:val="Normal"/>
    <w:uiPriority w:val="9"/>
    <w:semiHidden/>
    <w:unhideWhenUsed/>
    <w:qFormat/>
    <w:pPr>
      <w:keepNext/>
      <w:suppressAutoHyphens/>
      <w:spacing w:before="360" w:after="60" w:line="290" w:lineRule="exact"/>
      <w:outlineLvl w:val="3"/>
    </w:pPr>
    <w:rPr>
      <w:b/>
      <w:sz w:val="23"/>
      <w:szCs w:val="20"/>
      <w:lang w:val="sv-SE" w:eastAsia="sv-SE"/>
    </w:rPr>
  </w:style>
  <w:style w:type="paragraph" w:styleId="Rubrik5">
    <w:name w:val="heading 5"/>
    <w:next w:val="Normal"/>
    <w:uiPriority w:val="9"/>
    <w:semiHidden/>
    <w:unhideWhenUsed/>
    <w:qFormat/>
    <w:pPr>
      <w:keepNext/>
      <w:keepLines/>
      <w:suppressAutoHyphens/>
      <w:spacing w:before="40"/>
      <w:outlineLvl w:val="4"/>
    </w:pPr>
    <w:rPr>
      <w:rFonts w:ascii="Arial" w:hAnsi="Arial"/>
      <w:color w:val="E57200"/>
      <w:sz w:val="23"/>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line="240" w:lineRule="auto"/>
    </w:pPr>
    <w:rPr>
      <w:sz w:val="16"/>
    </w:rPr>
  </w:style>
  <w:style w:type="character" w:customStyle="1" w:styleId="SidhuvudChar">
    <w:name w:val="Sidhuvud Char"/>
    <w:basedOn w:val="Standardstycketeckensnitt"/>
    <w:rPr>
      <w:rFonts w:ascii="Times New Roman" w:hAnsi="Times New Roman"/>
      <w:sz w:val="16"/>
      <w:lang w:val="sv-SE"/>
    </w:rPr>
  </w:style>
  <w:style w:type="paragraph" w:styleId="Sidfot">
    <w:name w:val="footer"/>
    <w:basedOn w:val="Normal"/>
    <w:pPr>
      <w:tabs>
        <w:tab w:val="center" w:pos="4536"/>
        <w:tab w:val="right" w:pos="9072"/>
      </w:tabs>
      <w:spacing w:line="240" w:lineRule="auto"/>
    </w:pPr>
  </w:style>
  <w:style w:type="character" w:customStyle="1" w:styleId="SidfotChar">
    <w:name w:val="Sidfot Char"/>
    <w:basedOn w:val="Standardstycketeckensnitt"/>
    <w:rPr>
      <w:rFonts w:ascii="Times New Roman" w:hAnsi="Times New Roman"/>
      <w:sz w:val="23"/>
      <w:lang w:val="sv-SE"/>
    </w:rPr>
  </w:style>
  <w:style w:type="character" w:customStyle="1" w:styleId="Rubrik4Char">
    <w:name w:val="Rubrik 4 Char"/>
    <w:basedOn w:val="Standardstycketeckensnitt"/>
    <w:rPr>
      <w:rFonts w:ascii="Times New Roman" w:eastAsia="Times New Roman" w:hAnsi="Times New Roman" w:cs="Times New Roman"/>
      <w:b/>
      <w:sz w:val="23"/>
      <w:szCs w:val="20"/>
      <w:lang w:val="sv-SE" w:eastAsia="sv-SE"/>
    </w:rPr>
  </w:style>
  <w:style w:type="character" w:customStyle="1" w:styleId="Rubrik1Char">
    <w:name w:val="Rubrik 1 Char"/>
    <w:basedOn w:val="Standardstycketeckensnitt"/>
    <w:rPr>
      <w:rFonts w:ascii="Arial" w:eastAsia="Times New Roman" w:hAnsi="Arial" w:cs="Times New Roman"/>
      <w:b/>
      <w:sz w:val="36"/>
      <w:szCs w:val="32"/>
      <w:lang w:val="sv-SE"/>
    </w:rPr>
  </w:style>
  <w:style w:type="character" w:customStyle="1" w:styleId="Rubrik2Char">
    <w:name w:val="Rubrik 2 Char"/>
    <w:basedOn w:val="Standardstycketeckensnitt"/>
    <w:rPr>
      <w:rFonts w:ascii="Arial" w:eastAsia="Times New Roman" w:hAnsi="Arial" w:cs="Times New Roman"/>
      <w:b/>
      <w:sz w:val="28"/>
      <w:szCs w:val="26"/>
      <w:lang w:val="sv-SE"/>
    </w:rPr>
  </w:style>
  <w:style w:type="character" w:customStyle="1" w:styleId="Rubrik3Char">
    <w:name w:val="Rubrik 3 Char"/>
    <w:basedOn w:val="Standardstycketeckensnitt"/>
    <w:rPr>
      <w:rFonts w:ascii="Arial" w:eastAsia="Times New Roman" w:hAnsi="Arial" w:cs="Times New Roman"/>
      <w:b/>
      <w:sz w:val="23"/>
      <w:szCs w:val="24"/>
      <w:lang w:val="sv-SE"/>
    </w:rPr>
  </w:style>
  <w:style w:type="paragraph" w:styleId="Liststycke">
    <w:name w:val="List Paragraph"/>
    <w:basedOn w:val="Normal"/>
    <w:qFormat/>
    <w:pPr>
      <w:ind w:left="720"/>
    </w:pPr>
  </w:style>
  <w:style w:type="paragraph" w:customStyle="1" w:styleId="PunktlistaHyresgstfreningen">
    <w:name w:val="Punktlista_Hyresgästföreningen"/>
    <w:basedOn w:val="Normal"/>
  </w:style>
  <w:style w:type="paragraph" w:customStyle="1" w:styleId="Punktlista2Hyresgstfreningen">
    <w:name w:val="Punktlista_2_Hyresgästföreningen"/>
    <w:basedOn w:val="Normal"/>
    <w:pPr>
      <w:numPr>
        <w:numId w:val="1"/>
      </w:numPr>
    </w:pPr>
  </w:style>
  <w:style w:type="character" w:customStyle="1" w:styleId="HuvudrubrikPM">
    <w:name w:val="Huvudrubrik_PM"/>
    <w:basedOn w:val="Standardstycketeckensnitt"/>
    <w:rPr>
      <w:rFonts w:ascii="Arial" w:hAnsi="Arial"/>
      <w:b/>
      <w:sz w:val="96"/>
    </w:rPr>
  </w:style>
  <w:style w:type="character" w:customStyle="1" w:styleId="Rubrik5Char">
    <w:name w:val="Rubrik 5 Char"/>
    <w:basedOn w:val="Standardstycketeckensnitt"/>
    <w:rPr>
      <w:rFonts w:ascii="Arial" w:eastAsia="Times New Roman" w:hAnsi="Arial" w:cs="Times New Roman"/>
      <w:color w:val="E57200"/>
      <w:sz w:val="23"/>
      <w:lang w:val="sv-SE"/>
    </w:rPr>
  </w:style>
  <w:style w:type="paragraph" w:styleId="Ballongtext">
    <w:name w:val="Balloon Text"/>
    <w:basedOn w:val="Normal"/>
    <w:pPr>
      <w:spacing w:line="240" w:lineRule="auto"/>
    </w:pPr>
    <w:rPr>
      <w:rFonts w:ascii="Tahoma" w:hAnsi="Tahoma" w:cs="Tahoma"/>
      <w:sz w:val="16"/>
      <w:szCs w:val="16"/>
    </w:rPr>
  </w:style>
  <w:style w:type="character" w:customStyle="1" w:styleId="BallongtextChar">
    <w:name w:val="Ballongtext Char"/>
    <w:basedOn w:val="Standardstycketeckensnitt"/>
    <w:rPr>
      <w:rFonts w:ascii="Tahoma" w:hAnsi="Tahoma" w:cs="Tahoma"/>
      <w:sz w:val="16"/>
      <w:szCs w:val="16"/>
      <w:lang w:val="sv-SE"/>
    </w:rPr>
  </w:style>
  <w:style w:type="character" w:styleId="Platshllartext">
    <w:name w:val="Placeholder Text"/>
    <w:basedOn w:val="Standardstycketeckensnitt"/>
    <w:rPr>
      <w:color w:val="808080"/>
    </w:rPr>
  </w:style>
  <w:style w:type="numbering" w:customStyle="1" w:styleId="HyresgstfreningenLista">
    <w:name w:val="Hyresgästföreningen_Lista"/>
    <w:basedOn w:val="Ingenlista"/>
    <w:pPr>
      <w:numPr>
        <w:numId w:val="1"/>
      </w:numPr>
    </w:pPr>
  </w:style>
  <w:style w:type="numbering" w:customStyle="1" w:styleId="HyresgstfreningenLista2">
    <w:name w:val="Hyresgästföreningen_Lista2"/>
    <w:basedOn w:val="Ingenlista"/>
    <w:pPr>
      <w:numPr>
        <w:numId w:val="2"/>
      </w:numPr>
    </w:pPr>
  </w:style>
  <w:style w:type="numbering" w:customStyle="1" w:styleId="CompanyHeadingNumber">
    <w:name w:val="CompanyHeadingNumber"/>
    <w:basedOn w:val="Ingenlista"/>
    <w:pPr>
      <w:numPr>
        <w:numId w:val="3"/>
      </w:numPr>
    </w:pPr>
  </w:style>
  <w:style w:type="paragraph" w:styleId="Fotnotstext">
    <w:name w:val="footnote text"/>
    <w:basedOn w:val="Normal"/>
    <w:link w:val="FotnotstextChar"/>
    <w:uiPriority w:val="99"/>
    <w:semiHidden/>
    <w:unhideWhenUsed/>
    <w:rsid w:val="008F5A3F"/>
    <w:pPr>
      <w:spacing w:line="240" w:lineRule="auto"/>
    </w:pPr>
    <w:rPr>
      <w:sz w:val="20"/>
      <w:szCs w:val="20"/>
    </w:rPr>
  </w:style>
  <w:style w:type="character" w:customStyle="1" w:styleId="FotnotstextChar">
    <w:name w:val="Fotnotstext Char"/>
    <w:basedOn w:val="Standardstycketeckensnitt"/>
    <w:link w:val="Fotnotstext"/>
    <w:uiPriority w:val="99"/>
    <w:semiHidden/>
    <w:rsid w:val="008F5A3F"/>
    <w:rPr>
      <w:sz w:val="20"/>
      <w:szCs w:val="20"/>
      <w:lang w:val="sv-SE"/>
    </w:rPr>
  </w:style>
  <w:style w:type="character" w:styleId="Fotnotsreferens">
    <w:name w:val="footnote reference"/>
    <w:basedOn w:val="Standardstycketeckensnitt"/>
    <w:uiPriority w:val="99"/>
    <w:semiHidden/>
    <w:unhideWhenUsed/>
    <w:rsid w:val="008F5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40345">
      <w:bodyDiv w:val="1"/>
      <w:marLeft w:val="0"/>
      <w:marRight w:val="0"/>
      <w:marTop w:val="0"/>
      <w:marBottom w:val="0"/>
      <w:divBdr>
        <w:top w:val="none" w:sz="0" w:space="0" w:color="auto"/>
        <w:left w:val="none" w:sz="0" w:space="0" w:color="auto"/>
        <w:bottom w:val="none" w:sz="0" w:space="0" w:color="auto"/>
        <w:right w:val="none" w:sz="0" w:space="0" w:color="auto"/>
      </w:divBdr>
    </w:div>
    <w:div w:id="137908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yresg&#228;stf&#246;reningen\Mallar\PM.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74D2-72E6-4C33-8652-3C599542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319</TotalTime>
  <Pages>2</Pages>
  <Words>357</Words>
  <Characters>1893</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Lindborg</dc:creator>
  <cp:lastModifiedBy>Stefan Lindborg</cp:lastModifiedBy>
  <cp:revision>20</cp:revision>
  <dcterms:created xsi:type="dcterms:W3CDTF">2025-05-05T06:40:00Z</dcterms:created>
  <dcterms:modified xsi:type="dcterms:W3CDTF">2025-05-05T11:58:00Z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0x010100C22C9A619773441A8D703190DAA3143300591CFE58D6E64528804B05BD9DCDEDE900B8577059B003BD41A85AFDF35F4E8CA2</vt:lpwstr>
  </property>
  <property fmtid="{D5CDD505-2E9C-101B-9397-08002B2CF9AE}" pid="3" name="_dlc_DocIdItemGuid">
    <vt:lpwstr>2064df19-435c-4571-b555-698c0db88952</vt:lpwstr>
  </property>
  <property fmtid="{D5CDD505-2E9C-101B-9397-08002B2CF9AE}" pid="4" name="HGFFileType">
    <vt:lpwstr/>
  </property>
  <property fmtid="{D5CDD505-2E9C-101B-9397-08002B2CF9AE}" pid="5" name="HGFBusiness">
    <vt:lpwstr/>
  </property>
  <property fmtid="{D5CDD505-2E9C-101B-9397-08002B2CF9AE}" pid="6" name="HGFKeywords">
    <vt:lpwstr/>
  </property>
  <property fmtid="{D5CDD505-2E9C-101B-9397-08002B2CF9AE}" pid="7" name="HGFDocType">
    <vt:lpwstr/>
  </property>
  <property fmtid="{D5CDD505-2E9C-101B-9397-08002B2CF9AE}" pid="8" name="HGFRegion">
    <vt:lpwstr/>
  </property>
  <property fmtid="{D5CDD505-2E9C-101B-9397-08002B2CF9AE}" pid="9" name="Mall">
    <vt:lpwstr>PM</vt:lpwstr>
  </property>
</Properties>
</file>